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bottom w:val="single" w:color="FFFFFF" w:sz="4" w:space="0"/>
        </w:pBdr>
        <w:tabs>
          <w:tab w:val="left" w:pos="720"/>
        </w:tabs>
        <w:adjustRightInd w:val="0"/>
        <w:snapToGrid w:val="0"/>
        <w:spacing w:line="560" w:lineRule="exact"/>
        <w:jc w:val="both"/>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附件</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2</w:t>
      </w:r>
    </w:p>
    <w:p>
      <w:pPr>
        <w:pBdr>
          <w:bottom w:val="single" w:color="FFFFFF" w:sz="4" w:space="0"/>
        </w:pBdr>
        <w:tabs>
          <w:tab w:val="left" w:pos="720"/>
        </w:tabs>
        <w:adjustRightInd w:val="0"/>
        <w:snapToGrid w:val="0"/>
        <w:spacing w:line="560" w:lineRule="exact"/>
        <w:jc w:val="both"/>
        <w:rPr>
          <w:rFonts w:hint="default" w:ascii="黑体" w:hAnsi="黑体" w:eastAsia="黑体" w:cs="黑体"/>
          <w:color w:val="000000" w:themeColor="text1"/>
          <w:sz w:val="32"/>
          <w:szCs w:val="32"/>
          <w:lang w:val="en-US" w:eastAsia="zh-CN"/>
          <w14:textFill>
            <w14:solidFill>
              <w14:schemeClr w14:val="tx1"/>
            </w14:solidFill>
          </w14:textFill>
        </w:rPr>
      </w:pPr>
    </w:p>
    <w:p>
      <w:pPr>
        <w:pBdr>
          <w:bottom w:val="single" w:color="FFFFFF" w:sz="4" w:space="0"/>
        </w:pBdr>
        <w:tabs>
          <w:tab w:val="left" w:pos="720"/>
        </w:tabs>
        <w:adjustRightInd w:val="0"/>
        <w:snapToGrid w:val="0"/>
        <w:spacing w:line="560" w:lineRule="exact"/>
        <w:jc w:val="center"/>
        <w:rPr>
          <w:rFonts w:ascii="方正小标宋_GBK" w:hAnsi="Times New Roman" w:eastAsia="方正小标宋_GBK" w:cs="Times New Roman"/>
          <w:color w:val="000000" w:themeColor="text1"/>
          <w:sz w:val="44"/>
          <w:szCs w:val="44"/>
          <w14:textFill>
            <w14:solidFill>
              <w14:schemeClr w14:val="tx1"/>
            </w14:solidFill>
          </w14:textFill>
        </w:rPr>
      </w:pPr>
      <w:r>
        <w:rPr>
          <w:rFonts w:hint="eastAsia" w:ascii="方正小标宋_GBK" w:hAnsi="Times New Roman" w:eastAsia="方正小标宋_GBK" w:cs="Times New Roman"/>
          <w:color w:val="000000" w:themeColor="text1"/>
          <w:sz w:val="44"/>
          <w:szCs w:val="44"/>
          <w14:textFill>
            <w14:solidFill>
              <w14:schemeClr w14:val="tx1"/>
            </w14:solidFill>
          </w14:textFill>
        </w:rPr>
        <w:t>关于《南京市进一步推进科技成果转化</w:t>
      </w:r>
    </w:p>
    <w:p>
      <w:pPr>
        <w:spacing w:line="56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color w:val="000000" w:themeColor="text1"/>
          <w:sz w:val="44"/>
          <w:szCs w:val="44"/>
          <w14:textFill>
            <w14:solidFill>
              <w14:schemeClr w14:val="tx1"/>
            </w14:solidFill>
          </w14:textFill>
        </w:rPr>
        <w:t>的若干政策措施》的起草说明</w:t>
      </w:r>
    </w:p>
    <w:p>
      <w:pPr>
        <w:spacing w:line="440" w:lineRule="exact"/>
        <w:rPr>
          <w:rFonts w:ascii="Times New Roman" w:hAnsi="Times New Roman" w:eastAsia="方正仿宋_GBK" w:cs="Times New Roman"/>
          <w:sz w:val="32"/>
          <w:szCs w:val="32"/>
        </w:rPr>
      </w:pP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为深入贯彻习近平总书记对江苏工作重要讲话重要指示精神，打造具有全球影响力的产业科技创新中心主承载区，充分发挥南京科教资源优势，大力推进科技成果在宁转化，根据市委、市政府部署安排，市科技局起</w:t>
      </w:r>
      <w:r>
        <w:rPr>
          <w:rFonts w:hint="eastAsia" w:ascii="Times New Roman" w:hAnsi="Times New Roman" w:eastAsia="方正仿宋_GBK" w:cs="Times New Roman"/>
          <w:sz w:val="32"/>
          <w:szCs w:val="32"/>
        </w:rPr>
        <w:t>草了《南京市进一步推进科技成果转化的若干政策措施（</w:t>
      </w:r>
      <w:r>
        <w:rPr>
          <w:rFonts w:hint="eastAsia" w:ascii="Times New Roman" w:hAnsi="Times New Roman" w:eastAsia="方正仿宋_GBK" w:cs="Times New Roman"/>
          <w:sz w:val="32"/>
          <w:szCs w:val="32"/>
          <w:lang w:val="en-US" w:eastAsia="zh-CN"/>
        </w:rPr>
        <w:t>征求意见稿</w:t>
      </w:r>
      <w:r>
        <w:rPr>
          <w:rFonts w:hint="eastAsia" w:ascii="Times New Roman" w:hAnsi="Times New Roman" w:eastAsia="方正仿宋_GBK" w:cs="Times New Roman"/>
          <w:sz w:val="32"/>
          <w:szCs w:val="32"/>
        </w:rPr>
        <w:t>）》（以下简称《政策措施》）。现</w:t>
      </w:r>
      <w:r>
        <w:rPr>
          <w:rFonts w:hint="eastAsia" w:ascii="Times New Roman" w:hAnsi="Times New Roman" w:eastAsia="方正仿宋_GBK" w:cs="Times New Roman"/>
          <w:sz w:val="32"/>
          <w:szCs w:val="32"/>
          <w:lang w:val="en-US" w:eastAsia="zh-CN"/>
        </w:rPr>
        <w:t>就</w:t>
      </w:r>
      <w:r>
        <w:rPr>
          <w:rFonts w:hint="eastAsia" w:ascii="Times New Roman" w:hAnsi="Times New Roman" w:eastAsia="方正仿宋_GBK" w:cs="Times New Roman"/>
          <w:sz w:val="32"/>
          <w:szCs w:val="32"/>
        </w:rPr>
        <w:t>相关情况</w:t>
      </w:r>
      <w:r>
        <w:rPr>
          <w:rFonts w:hint="eastAsia" w:ascii="Times New Roman" w:hAnsi="Times New Roman" w:eastAsia="方正仿宋_GBK" w:cs="Times New Roman"/>
          <w:sz w:val="32"/>
          <w:szCs w:val="32"/>
          <w:lang w:val="en-US" w:eastAsia="zh-CN"/>
        </w:rPr>
        <w:t>说明</w:t>
      </w:r>
      <w:r>
        <w:rPr>
          <w:rFonts w:hint="eastAsia" w:ascii="Times New Roman" w:hAnsi="Times New Roman" w:eastAsia="方正仿宋_GBK" w:cs="Times New Roman"/>
          <w:sz w:val="32"/>
          <w:szCs w:val="32"/>
        </w:rPr>
        <w:t>如下。</w:t>
      </w:r>
    </w:p>
    <w:p>
      <w:pPr>
        <w:spacing w:line="59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一、起草背景</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习近平总书记指出，科技创新能够催生新产业、新模式、新动能，是发展新质生产力的核心要素。必须加强科技创新特别是原创性、颠覆性科技创新，加快实现高水平科技自立自强，打好关键核心技术攻坚战，使原创性、颠覆性科技创新成果竞相涌现，培育发展新质生产力的新动能。省委省政府贯彻总书记讲话精神，围绕具有全球影响力的产业科技创新中心建设，推动科技创新和产业创新融合，形成与之匹配的科技创新策源功能、产业组织先导功能、资源要素配置功能，畅通科技成果转化渠道，着力打造现代化产业体系。</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近年来，南京在科技创新中的探索和实践表明，发挥科教资源优势，提高科技成果转化绩效，是贯彻落实总书记重要讲话重要指示精神和省委省政府战略部署、加快形成新质生产力的重要举措。如何建立以企业为主体、市场为导向、产学研深度融合的成果转化体系，目前已成为政府、高等院校、科研机构、企业等创新主体广泛关注的问题。南京拥有丰富的科技创新资源，如何体系化推进科技成果转化，为加快形成新质生产力和城市高质量发展持续提供新动能，具有重要的现实意义。2023年，</w:t>
      </w:r>
      <w:r>
        <w:rPr>
          <w:rFonts w:hint="eastAsia" w:ascii="Times New Roman" w:hAnsi="Times New Roman" w:eastAsia="方正仿宋_GBK" w:cs="Times New Roman"/>
          <w:sz w:val="32"/>
          <w:szCs w:val="32"/>
          <w:lang w:val="en-US" w:eastAsia="zh-CN"/>
        </w:rPr>
        <w:t>市科技</w:t>
      </w:r>
      <w:r>
        <w:rPr>
          <w:rFonts w:hint="eastAsia" w:ascii="Times New Roman" w:hAnsi="Times New Roman" w:eastAsia="方正仿宋_GBK" w:cs="Times New Roman"/>
          <w:sz w:val="32"/>
          <w:szCs w:val="32"/>
        </w:rPr>
        <w:t>局选定了“推动产学研深入融合，优化科技成果转化机制的路径研究和对策建议”作为重点调研课题，围绕近年来国内外现状、主要成效、比较优势、存在问题进行了调研、座谈和分析，形成了调研报告，初步提出了体系化推进科技成果转化的政策建议。</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rPr>
        <w:t>二、起草过程</w:t>
      </w:r>
    </w:p>
    <w:p>
      <w:pPr>
        <w:spacing w:line="590" w:lineRule="exact"/>
        <w:ind w:firstLine="640" w:firstLineChars="20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2023年11月，</w:t>
      </w:r>
      <w:r>
        <w:rPr>
          <w:rFonts w:hint="eastAsia" w:ascii="Times New Roman" w:hAnsi="Times New Roman" w:eastAsia="方正仿宋_GBK" w:cs="Times New Roman"/>
          <w:sz w:val="32"/>
          <w:szCs w:val="32"/>
        </w:rPr>
        <w:t>在调研报告基础上，</w:t>
      </w:r>
      <w:r>
        <w:rPr>
          <w:rFonts w:hint="eastAsia" w:ascii="Times New Roman" w:hAnsi="Times New Roman" w:eastAsia="方正仿宋_GBK" w:cs="Times New Roman"/>
          <w:sz w:val="32"/>
          <w:szCs w:val="32"/>
          <w:lang w:val="en-US" w:eastAsia="zh-CN"/>
        </w:rPr>
        <w:t>市科技</w:t>
      </w:r>
      <w:r>
        <w:rPr>
          <w:rFonts w:hint="eastAsia" w:ascii="Times New Roman" w:hAnsi="Times New Roman" w:eastAsia="方正仿宋_GBK" w:cs="Times New Roman"/>
          <w:sz w:val="32"/>
          <w:szCs w:val="32"/>
        </w:rPr>
        <w:t>局启动了《政策措施》起草工作，</w:t>
      </w:r>
      <w:r>
        <w:rPr>
          <w:rFonts w:hint="eastAsia" w:ascii="Times New Roman" w:hAnsi="Times New Roman" w:eastAsia="方正仿宋_GBK" w:cs="Times New Roman"/>
          <w:color w:val="000000" w:themeColor="text1"/>
          <w:sz w:val="32"/>
          <w:szCs w:val="32"/>
          <w14:textFill>
            <w14:solidFill>
              <w14:schemeClr w14:val="tx1"/>
            </w14:solidFill>
          </w14:textFill>
        </w:rPr>
        <w:t>对上海、深圳、杭州、广州、成都、武汉等6座城市近三年内出台的政策进行了全面梳理和比对，召开了在宁高校院所、医疗卫生机构、企业、新型研发机构咨询座谈会，草拟了初稿。12月4日，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市政府分管领导</w:t>
      </w:r>
      <w:r>
        <w:rPr>
          <w:rFonts w:hint="eastAsia" w:ascii="Times New Roman" w:hAnsi="Times New Roman" w:eastAsia="方正仿宋_GBK" w:cs="Times New Roman"/>
          <w:color w:val="000000" w:themeColor="text1"/>
          <w:sz w:val="32"/>
          <w:szCs w:val="32"/>
          <w14:textFill>
            <w14:solidFill>
              <w14:schemeClr w14:val="tx1"/>
            </w14:solidFill>
          </w14:textFill>
        </w:rPr>
        <w:t>听取了政策起草情况汇报，提出要再充分征求意见建议，尽快修改完善。之后，</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市科技</w:t>
      </w:r>
      <w:r>
        <w:rPr>
          <w:rFonts w:hint="eastAsia" w:ascii="Times New Roman" w:hAnsi="Times New Roman" w:eastAsia="方正仿宋_GBK" w:cs="Times New Roman"/>
          <w:color w:val="000000" w:themeColor="text1"/>
          <w:sz w:val="32"/>
          <w:szCs w:val="32"/>
          <w14:textFill>
            <w14:solidFill>
              <w14:schemeClr w14:val="tx1"/>
            </w14:solidFill>
          </w14:textFill>
        </w:rPr>
        <w:t>局又开展了8次专题调研和座谈，征求省科技厅意见后形成了修改稿，并于今年3月初，书面征求了市各相关部门和江北新区、各区政府的意见建议。3月12日，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市政府主要领导</w:t>
      </w:r>
      <w:r>
        <w:rPr>
          <w:rFonts w:hint="eastAsia" w:ascii="Times New Roman" w:hAnsi="Times New Roman" w:eastAsia="方正仿宋_GBK" w:cs="Times New Roman"/>
          <w:color w:val="000000" w:themeColor="text1"/>
          <w:sz w:val="32"/>
          <w:szCs w:val="32"/>
          <w14:textFill>
            <w14:solidFill>
              <w14:schemeClr w14:val="tx1"/>
            </w14:solidFill>
          </w14:textFill>
        </w:rPr>
        <w:t>召开专题会议研究体系化推进科技成果转化工作，听取了文件起草情况汇报。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根据会议精神，市科技局进一步修改完善</w:t>
      </w:r>
      <w:r>
        <w:rPr>
          <w:rFonts w:hint="eastAsia" w:ascii="Times New Roman" w:hAnsi="Times New Roman" w:eastAsia="方正仿宋_GBK" w:cs="Times New Roman"/>
          <w:sz w:val="32"/>
          <w:szCs w:val="32"/>
        </w:rPr>
        <w:t>《政策措施》</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形成了征求意见稿。</w:t>
      </w:r>
    </w:p>
    <w:p>
      <w:pPr>
        <w:spacing w:line="590" w:lineRule="exact"/>
        <w:ind w:firstLine="640" w:firstLineChars="200"/>
        <w:rPr>
          <w:rFonts w:ascii="Times New Roman" w:hAnsi="Times New Roman" w:eastAsia="方正黑体_GBK" w:cs="Times New Roman"/>
          <w:color w:val="000000" w:themeColor="text1"/>
          <w:sz w:val="32"/>
          <w:szCs w:val="32"/>
          <w14:textFill>
            <w14:solidFill>
              <w14:schemeClr w14:val="tx1"/>
            </w14:solidFill>
          </w14:textFill>
        </w:rPr>
      </w:pPr>
      <w:r>
        <w:rPr>
          <w:rFonts w:hint="eastAsia" w:ascii="Times New Roman" w:hAnsi="Times New Roman" w:eastAsia="方正黑体_GBK" w:cs="Times New Roman"/>
          <w:color w:val="000000" w:themeColor="text1"/>
          <w:sz w:val="32"/>
          <w:szCs w:val="32"/>
          <w14:textFill>
            <w14:solidFill>
              <w14:schemeClr w14:val="tx1"/>
            </w14:solidFill>
          </w14:textFill>
        </w:rPr>
        <w:t>三、主要内容</w:t>
      </w:r>
    </w:p>
    <w:p>
      <w:pPr>
        <w:spacing w:line="590" w:lineRule="exact"/>
        <w:ind w:firstLine="640" w:firstLineChars="200"/>
        <w:rPr>
          <w:rFonts w:ascii="方正楷体_GBK" w:hAnsi="Times New Roman" w:eastAsia="方正楷体_GBK" w:cs="Times New Roman"/>
          <w:color w:val="000000" w:themeColor="text1"/>
          <w:sz w:val="32"/>
          <w:szCs w:val="32"/>
          <w14:textFill>
            <w14:solidFill>
              <w14:schemeClr w14:val="tx1"/>
            </w14:solidFill>
          </w14:textFill>
        </w:rPr>
      </w:pPr>
      <w:r>
        <w:rPr>
          <w:rFonts w:hint="eastAsia" w:ascii="方正楷体_GBK" w:hAnsi="Times New Roman" w:eastAsia="方正楷体_GBK" w:cs="Times New Roman"/>
          <w:color w:val="000000" w:themeColor="text1"/>
          <w:sz w:val="32"/>
          <w:szCs w:val="32"/>
          <w14:textFill>
            <w14:solidFill>
              <w14:schemeClr w14:val="tx1"/>
            </w14:solidFill>
          </w14:textFill>
        </w:rPr>
        <w:t>（一）总体考虑</w:t>
      </w:r>
    </w:p>
    <w:p>
      <w:pPr>
        <w:spacing w:line="590" w:lineRule="exact"/>
        <w:ind w:firstLine="640" w:firstLineChars="200"/>
        <w:rPr>
          <w:rFonts w:ascii="Times New Roman" w:hAnsi="Times New Roman" w:eastAsia="方正黑体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坚持“</w:t>
      </w:r>
      <w:r>
        <w:rPr>
          <w:rFonts w:hint="eastAsia" w:ascii="Times New Roman" w:hAnsi="Times New Roman" w:eastAsia="方正黑体_GBK" w:cs="Times New Roman"/>
          <w:color w:val="000000" w:themeColor="text1"/>
          <w:sz w:val="32"/>
          <w:szCs w:val="32"/>
          <w14:textFill>
            <w14:solidFill>
              <w14:schemeClr w14:val="tx1"/>
            </w14:solidFill>
          </w14:textFill>
        </w:rPr>
        <w:t>政策制订全链条、参与主体全覆盖、工作推进全流程</w:t>
      </w:r>
      <w:r>
        <w:rPr>
          <w:rFonts w:hint="eastAsia" w:ascii="Times New Roman" w:hAnsi="Times New Roman" w:eastAsia="方正仿宋_GBK" w:cs="Times New Roman"/>
          <w:color w:val="000000" w:themeColor="text1"/>
          <w:sz w:val="32"/>
          <w:szCs w:val="32"/>
          <w14:textFill>
            <w14:solidFill>
              <w14:schemeClr w14:val="tx1"/>
            </w14:solidFill>
          </w14:textFill>
        </w:rPr>
        <w:t>”的原则，聚焦加快推动科技和产业双向发力，突出科技成果发布和企业需求牵引，完善科技成果发现、转化、落地的体系化推进机制，切实打通科技成果转化“最初一公里”“关键一公里”和“最后一公里”。</w:t>
      </w:r>
    </w:p>
    <w:p>
      <w:pPr>
        <w:spacing w:line="590"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政策措施》从“提升创新成果供给质效（3条）、突出企业需求应用导向（3条）、畅通创新成果转化渠道（3条）、强化多元赋能服务支撑（4条）、健全组织推进保障机制（3条）”五个方面，具体拟订了16条政策条款。</w:t>
      </w:r>
    </w:p>
    <w:p>
      <w:pPr>
        <w:spacing w:line="590" w:lineRule="exact"/>
        <w:ind w:firstLine="640" w:firstLineChars="200"/>
        <w:rPr>
          <w:rFonts w:ascii="方正楷体_GBK" w:hAnsi="Times New Roman" w:eastAsia="方正楷体_GBK" w:cs="Times New Roman"/>
          <w:color w:val="000000" w:themeColor="text1"/>
          <w:sz w:val="32"/>
          <w:szCs w:val="32"/>
          <w14:textFill>
            <w14:solidFill>
              <w14:schemeClr w14:val="tx1"/>
            </w14:solidFill>
          </w14:textFill>
        </w:rPr>
      </w:pPr>
      <w:r>
        <w:rPr>
          <w:rFonts w:hint="eastAsia" w:ascii="方正楷体_GBK" w:hAnsi="Times New Roman" w:eastAsia="方正楷体_GBK" w:cs="Times New Roman"/>
          <w:color w:val="000000" w:themeColor="text1"/>
          <w:sz w:val="32"/>
          <w:szCs w:val="32"/>
          <w14:textFill>
            <w14:solidFill>
              <w14:schemeClr w14:val="tx1"/>
            </w14:solidFill>
          </w14:textFill>
        </w:rPr>
        <w:t>（二）具体条款</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1.提升创新成果供给质效（3条）</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（1）完善科技成果发现对接机制。打造南京市科技成果信息发布与供需对接平台，发布应用成果清单和企业需求清单。定期通报高校院所转化成效，发布排行榜，对</w:t>
      </w:r>
      <w:r>
        <w:rPr>
          <w:rFonts w:hint="eastAsia" w:ascii="Times New Roman" w:hAnsi="Times New Roman" w:eastAsia="方正仿宋_GBK" w:cs="Times New Roman"/>
          <w:sz w:val="32"/>
          <w:szCs w:val="32"/>
          <w:lang w:val="en-US" w:eastAsia="zh-CN"/>
        </w:rPr>
        <w:t>转化成效好的，</w:t>
      </w:r>
      <w:r>
        <w:rPr>
          <w:rFonts w:hint="eastAsia" w:ascii="Times New Roman" w:hAnsi="Times New Roman" w:eastAsia="方正仿宋_GBK" w:cs="Times New Roman"/>
          <w:sz w:val="32"/>
          <w:szCs w:val="32"/>
        </w:rPr>
        <w:t>给予奖励。</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提高创新平台转化效能。支持重大创新平台建设，开展原创性、颠覆性技术研发，重点推进紫金山科技城、麒麟科创园打造科技成果源头供给示范样板。打造一批标杆孵化器，培育硬科技和未来产业企业，推进创新成果“沿途下蛋、持续转化”。</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支持概念验证中心和中试基地建设。分批建设20家概念验证中心和10家中试基地。对市级认定的概念验证中心、中试基地按照建设投入情况给予最高200万元资助，对通过概念验证、中试服务在宁转化且被市场化基金首次股权投资的科技成果给予最高100万元项目化资助。</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2.突出企业需求应用导向（3条）</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发挥企业创新牵引作用。以“企业出资、政府资助、联合发布”的形式遴选一批重点科研攻关揭榜制项目，按照企业实际投入的10%给予最高200万元资助。鼓励企业扩大国家、省科学技术奖成果产业化规模，两年内按项目新增投资10%给予最高500万元奖励。</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（2）支持企业开展技术攻关。支持龙头企业积极承担国家、省关键核心技术攻关任务。围绕重点产业前沿技术方向</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凝练企业需求，</w:t>
      </w:r>
      <w:r>
        <w:rPr>
          <w:rFonts w:hint="eastAsia" w:ascii="Times New Roman" w:hAnsi="Times New Roman" w:eastAsia="方正仿宋_GBK" w:cs="Times New Roman"/>
          <w:sz w:val="32"/>
          <w:szCs w:val="32"/>
        </w:rPr>
        <w:t>每年组织实施不少于20项市级重大科技专项，给予最高2000万元资助。支持创新联合体实施关键核心技术攻关和转化，给予最高500万元项目化资助。支持企业与国（境）外高校院所、企业开展国际联合研发及成果转化，给予最高100万元资助。</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加强与省产研院联合转化。支持紫金山科技产业发展集团与省产研院合作，按比例设立科技成果转化资金池，以“拨投结合”的方式项目化支持创新资源转化，持续推进市区联动，打造科技成果转化示范样板。</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3.畅通创新成果转化渠道（3条）</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（1）推进新型研发机构高质量发展。</w:t>
      </w:r>
      <w:r>
        <w:rPr>
          <w:rFonts w:hint="eastAsia" w:ascii="Times New Roman" w:hAnsi="Times New Roman" w:eastAsia="方正仿宋_GBK" w:cs="Times New Roman"/>
          <w:color w:val="000000" w:themeColor="text1"/>
          <w:sz w:val="32"/>
          <w:szCs w:val="32"/>
          <w14:textFill>
            <w14:solidFill>
              <w14:schemeClr w14:val="tx1"/>
            </w14:solidFill>
          </w14:textFill>
        </w:rPr>
        <w:t>持续培育40家高水平、平台型新型研发机构。</w:t>
      </w:r>
      <w:r>
        <w:rPr>
          <w:rFonts w:hint="eastAsia" w:ascii="Times New Roman" w:hAnsi="Times New Roman" w:eastAsia="方正仿宋_GBK" w:cs="Times New Roman"/>
          <w:sz w:val="32"/>
          <w:szCs w:val="32"/>
        </w:rPr>
        <w:t>支持新型研发机构协同龙头企业开展联合攻关，给予最高300万元资助。对实质开展兼并重组，牵头建成公共技术服务平台的新型研发机构给予最高500万元资助。支持新型研发机构加入省产研院专业所序列，给予新设专业所最高500万元奖励。</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激发技术转移机构活力。组织评选年度优秀技术转移机构。对技术转移机构、技术合同登记机构、技术输出方、技术吸纳方按照实际交易比例分类分档给予最高200万元奖励。推进海外创新组织、高等院校在宁设立科技成果转化工作站，吸纳全球创新资源落地。推进大学科技园和技术转移中心融合发展，推行“科技园孵化转移＋开发区落地产业化”协同模式。</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培育壮大技术转移人才队伍。推进设立技术经纪专业职称序列，将科技成果转化创造的经济效益和社会效益作为职称评审的主要评价因素。组织公益性的高层次技术经纪人交流培训。组织年度优秀技术经纪人评选，支持符合条件的技术经纪人按规定申报南京市相关人才计划。</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4.强化多元赋能服务支撑（4条）</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构建资本金融赋能体系。发挥政府引导基金杠杆作用，撬动社会资本共同投早投小投硬科技，按投资额5%给予基金管理机构奖励，投资单个企业累计奖励最高500万元。设立企业“融资白名单”，支持银行开发创新产品，开设绿色通道。推动保险公司开发科技成果转化险等产品，给予参保企业最高50%保费补贴。分批建设30家科创金融服务驿站，根据绩效给予最高50万元奖励。</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加强知识产权运用服务。优化产业知识产权运营中心、重点产业专利池、产业知识产权保护联盟等建设。建立知识产权民事、行政、刑事执法衔接协同保护机制，深入推进知识产权保护领域多元化纠纷解决机制建设。</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加强应用场景示范推广。支持区（园区）面向科技成果构建并提供多元化应用场景。支持科技成果转化形成的创新产品首购首用，定期发布创新产品目录。政府采购中，可依法依规采用单一来源方式采购首次投向市场的创新产品。创新政府采购机制，探索开展合作创新采购。</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深化职务科技成果赋权改革。对国家及省市试点单位赋予科研人员职务科技成果所有权或不低于10年长期使用权，年度给予最高100万元资助。在宁转化职务科技成果获得的收益，用于奖励研发团队和为科技成果转化做出重要贡献人员的比例不低于80%。支持国有企业加大创新投入和科技成果转化，纳入市级国企考核，</w:t>
      </w:r>
      <w:r>
        <w:rPr>
          <w:rFonts w:hint="eastAsia" w:ascii="Times New Roman" w:hAnsi="Times New Roman" w:eastAsia="方正仿宋_GBK" w:cs="Times New Roman"/>
          <w:sz w:val="32"/>
          <w:szCs w:val="32"/>
          <w:lang w:val="en-US" w:eastAsia="zh-CN"/>
        </w:rPr>
        <w:t>加大</w:t>
      </w:r>
      <w:r>
        <w:rPr>
          <w:rFonts w:hint="eastAsia" w:ascii="Times New Roman" w:hAnsi="Times New Roman" w:eastAsia="方正仿宋_GBK" w:cs="Times New Roman"/>
          <w:sz w:val="32"/>
          <w:szCs w:val="32"/>
        </w:rPr>
        <w:t>研发投入视同利润加回</w:t>
      </w:r>
      <w:r>
        <w:rPr>
          <w:rFonts w:hint="eastAsia" w:ascii="Times New Roman" w:hAnsi="Times New Roman" w:eastAsia="方正仿宋_GBK" w:cs="Times New Roman"/>
          <w:sz w:val="32"/>
          <w:szCs w:val="32"/>
          <w:lang w:eastAsia="zh-CN"/>
        </w:rPr>
        <w:t>的</w:t>
      </w:r>
      <w:r>
        <w:rPr>
          <w:rFonts w:hint="eastAsia" w:ascii="Times New Roman" w:hAnsi="Times New Roman" w:eastAsia="方正仿宋_GBK" w:cs="Times New Roman"/>
          <w:sz w:val="32"/>
          <w:szCs w:val="32"/>
          <w:lang w:val="en-US" w:eastAsia="zh-CN"/>
        </w:rPr>
        <w:t>比例</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w:t>
      </w:r>
      <w:r>
        <w:rPr>
          <w:rFonts w:hint="eastAsia"/>
        </w:rPr>
        <w:t xml:space="preserve"> </w:t>
      </w:r>
      <w:r>
        <w:rPr>
          <w:rFonts w:hint="eastAsia" w:ascii="Times New Roman" w:hAnsi="Times New Roman" w:eastAsia="方正仿宋_GBK" w:cs="Times New Roman"/>
          <w:sz w:val="32"/>
          <w:szCs w:val="32"/>
        </w:rPr>
        <w:t>健全组织推进保障机制（3条）</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加强组织实施和考核评价。建立市委科技委员会牵头的跨部门多层级推进机制，加强组织领导和统筹协调，推进各项措施落实见效。建立市区两级联动的重大科技创新项目（投资）落地决策机制，根据投资额和经济贡献，分级决策。建立考核评价和通报制度，做好典型案例和经验做法的宣传推广。</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强化资源要素保障。构建环评、能评、安评等绿色通道，强化用水、用气、用热、用电、用网、算力等保障，促进重大科技成果快速转化落地。加大产业化过程的研发用地、标准厂房、定制化厂房等供应力度。引导政府数据资源有序开放。</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建立尽职免责制度。建立健全市级科技成果转化尽职免责配套工作指引，依法保护创新主体、科研人员合法财产权和创新收益。在科技成果转化、科研组织管理工作中出现失误和错误，但勤勉尽责、未谋取私利的，依规依纪依法不予、免予追究责任或者从轻、减轻追究责任。</w:t>
      </w:r>
      <w:bookmarkStart w:id="0" w:name="_GoBack"/>
      <w:bookmarkEnd w:id="0"/>
    </w:p>
    <w:sectPr>
      <w:footerReference r:id="rId3" w:type="default"/>
      <w:pgSz w:w="11906" w:h="16838"/>
      <w:pgMar w:top="1814" w:right="1361" w:bottom="1701"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3855A1-BCB4-4EDC-AF47-375F8F8BAB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76F9D73-DD2D-4AF7-9EEE-B1A9024EEDFD}"/>
  </w:font>
  <w:font w:name="方正小标宋_GBK">
    <w:panose1 w:val="03000509000000000000"/>
    <w:charset w:val="86"/>
    <w:family w:val="script"/>
    <w:pitch w:val="default"/>
    <w:sig w:usb0="00000001" w:usb1="080E0000" w:usb2="00000000" w:usb3="00000000" w:csb0="00040000" w:csb1="00000000"/>
    <w:embedRegular r:id="rId3" w:fontKey="{A6904B77-5645-48E4-A1C9-8ACCACD66BA4}"/>
  </w:font>
  <w:font w:name="方正楷体_GBK">
    <w:panose1 w:val="03000509000000000000"/>
    <w:charset w:val="86"/>
    <w:family w:val="script"/>
    <w:pitch w:val="default"/>
    <w:sig w:usb0="00000001" w:usb1="080E0000" w:usb2="00000000" w:usb3="00000000" w:csb0="00040000" w:csb1="00000000"/>
    <w:embedRegular r:id="rId4" w:fontKey="{FF383F52-FEA3-4C47-B727-016A46CF8B15}"/>
  </w:font>
  <w:font w:name="方正仿宋_GBK">
    <w:panose1 w:val="03000509000000000000"/>
    <w:charset w:val="86"/>
    <w:family w:val="script"/>
    <w:pitch w:val="default"/>
    <w:sig w:usb0="00000001" w:usb1="080E0000" w:usb2="00000000" w:usb3="00000000" w:csb0="00040000" w:csb1="00000000"/>
    <w:embedRegular r:id="rId5" w:fontKey="{D0191D3A-A608-4679-BA4B-94153DB2F844}"/>
  </w:font>
  <w:font w:name="方正黑体_GBK">
    <w:panose1 w:val="03000509000000000000"/>
    <w:charset w:val="86"/>
    <w:family w:val="script"/>
    <w:pitch w:val="default"/>
    <w:sig w:usb0="00000001" w:usb1="080E0000" w:usb2="00000000" w:usb3="00000000" w:csb0="00040000" w:csb1="00000000"/>
    <w:embedRegular r:id="rId6" w:fontKey="{62C1EE5B-B83E-4FC4-92CB-713F18F4453F}"/>
  </w:font>
  <w:font w:name="方正公文小标宋">
    <w:panose1 w:val="02000500000000000000"/>
    <w:charset w:val="86"/>
    <w:family w:val="auto"/>
    <w:pitch w:val="default"/>
    <w:sig w:usb0="A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宋一简体">
    <w:panose1 w:val="03000509000000000000"/>
    <w:charset w:val="86"/>
    <w:family w:val="auto"/>
    <w:pitch w:val="default"/>
    <w:sig w:usb0="00000001" w:usb1="080E0000" w:usb2="00000000" w:usb3="00000000" w:csb0="00040000" w:csb1="00000000"/>
  </w:font>
  <w:font w:name="方正小标宋繁体">
    <w:panose1 w:val="03000509000000000000"/>
    <w:charset w:val="86"/>
    <w:family w:val="auto"/>
    <w:pitch w:val="default"/>
    <w:sig w:usb0="00000001" w:usb1="080E0000" w:usb2="00000000" w:usb3="00000000" w:csb0="00040000" w:csb1="00000000"/>
  </w:font>
  <w:font w:name="方正大黑繁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8932789"/>
    </w:sdtPr>
    <w:sdtEndPr>
      <w:rPr>
        <w:rFonts w:ascii="Times New Roman" w:hAnsi="Times New Roman" w:cs="Times New Roman"/>
        <w:sz w:val="28"/>
        <w:szCs w:val="28"/>
      </w:rPr>
    </w:sdtEndPr>
    <w:sdtContent>
      <w:p>
        <w:pPr>
          <w:pStyle w:val="5"/>
          <w:numPr>
            <w:ilvl w:val="0"/>
            <w:numId w:val="1"/>
          </w:numP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9</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r>
          <w:rPr>
            <w:rFonts w:ascii="Times New Roman" w:hAnsi="Times New Roman" w:cs="Times New Roman"/>
            <w:sz w:val="28"/>
            <w:szCs w:val="28"/>
          </w:rPr>
          <w:t>—</w:t>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8A1C72"/>
    <w:multiLevelType w:val="multilevel"/>
    <w:tmpl w:val="7C8A1C72"/>
    <w:lvl w:ilvl="0" w:tentative="0">
      <w:start w:val="1"/>
      <w:numFmt w:val="bullet"/>
      <w:lvlText w:val="—"/>
      <w:lvlJc w:val="left"/>
      <w:pPr>
        <w:ind w:left="360" w:hanging="360"/>
      </w:pPr>
      <w:rPr>
        <w:rFonts w:hint="default" w:ascii="Times New Roman" w:hAnsi="Times New Roman" w:cs="Times New Roman" w:eastAsiaTheme="minorEastAsia"/>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3OGY0NWFiZDg1ZTRhMTkzYWZmOGQxOGE1NWNhNjQifQ=="/>
  </w:docVars>
  <w:rsids>
    <w:rsidRoot w:val="000F1A24"/>
    <w:rsid w:val="000000BD"/>
    <w:rsid w:val="00003F3A"/>
    <w:rsid w:val="00014103"/>
    <w:rsid w:val="000165F8"/>
    <w:rsid w:val="00017DB3"/>
    <w:rsid w:val="00020904"/>
    <w:rsid w:val="00031FD0"/>
    <w:rsid w:val="00037A8F"/>
    <w:rsid w:val="00046863"/>
    <w:rsid w:val="00052B1D"/>
    <w:rsid w:val="00061090"/>
    <w:rsid w:val="000616D0"/>
    <w:rsid w:val="000707CA"/>
    <w:rsid w:val="00080178"/>
    <w:rsid w:val="00080783"/>
    <w:rsid w:val="00081FB2"/>
    <w:rsid w:val="00095921"/>
    <w:rsid w:val="000A33C4"/>
    <w:rsid w:val="000A5EF8"/>
    <w:rsid w:val="000A7838"/>
    <w:rsid w:val="000B2068"/>
    <w:rsid w:val="000B49B9"/>
    <w:rsid w:val="000C5890"/>
    <w:rsid w:val="000D534F"/>
    <w:rsid w:val="000D5684"/>
    <w:rsid w:val="000D5E2D"/>
    <w:rsid w:val="000D68CA"/>
    <w:rsid w:val="000E2046"/>
    <w:rsid w:val="000E264A"/>
    <w:rsid w:val="000E55AC"/>
    <w:rsid w:val="000E7F55"/>
    <w:rsid w:val="000F1A24"/>
    <w:rsid w:val="000F2910"/>
    <w:rsid w:val="0010183F"/>
    <w:rsid w:val="00101998"/>
    <w:rsid w:val="00110606"/>
    <w:rsid w:val="00114466"/>
    <w:rsid w:val="001160E8"/>
    <w:rsid w:val="00122F79"/>
    <w:rsid w:val="00126587"/>
    <w:rsid w:val="001302AE"/>
    <w:rsid w:val="00136134"/>
    <w:rsid w:val="0014305C"/>
    <w:rsid w:val="00151E5C"/>
    <w:rsid w:val="00157525"/>
    <w:rsid w:val="0016060C"/>
    <w:rsid w:val="0016075C"/>
    <w:rsid w:val="00163E51"/>
    <w:rsid w:val="0016640F"/>
    <w:rsid w:val="00166C7D"/>
    <w:rsid w:val="00170319"/>
    <w:rsid w:val="0017356E"/>
    <w:rsid w:val="00175833"/>
    <w:rsid w:val="00180071"/>
    <w:rsid w:val="00187957"/>
    <w:rsid w:val="00192AD7"/>
    <w:rsid w:val="00193D16"/>
    <w:rsid w:val="00194303"/>
    <w:rsid w:val="001A12D7"/>
    <w:rsid w:val="001A1B9C"/>
    <w:rsid w:val="001A72F8"/>
    <w:rsid w:val="001C4A4B"/>
    <w:rsid w:val="001D7BEC"/>
    <w:rsid w:val="001E674E"/>
    <w:rsid w:val="001E7FD2"/>
    <w:rsid w:val="001F6DBD"/>
    <w:rsid w:val="002010C1"/>
    <w:rsid w:val="00203D98"/>
    <w:rsid w:val="0020453C"/>
    <w:rsid w:val="00211216"/>
    <w:rsid w:val="00216338"/>
    <w:rsid w:val="00217FF5"/>
    <w:rsid w:val="002222CD"/>
    <w:rsid w:val="00232A29"/>
    <w:rsid w:val="002369D4"/>
    <w:rsid w:val="002371D4"/>
    <w:rsid w:val="00242898"/>
    <w:rsid w:val="00246124"/>
    <w:rsid w:val="00253E82"/>
    <w:rsid w:val="00254A50"/>
    <w:rsid w:val="00272284"/>
    <w:rsid w:val="002731DC"/>
    <w:rsid w:val="00281989"/>
    <w:rsid w:val="0028590C"/>
    <w:rsid w:val="00287AF8"/>
    <w:rsid w:val="00295BF7"/>
    <w:rsid w:val="002976DF"/>
    <w:rsid w:val="002A0060"/>
    <w:rsid w:val="002A0FC9"/>
    <w:rsid w:val="002A53A4"/>
    <w:rsid w:val="002A60BD"/>
    <w:rsid w:val="002B0513"/>
    <w:rsid w:val="002B1ED5"/>
    <w:rsid w:val="002B55D3"/>
    <w:rsid w:val="002B632D"/>
    <w:rsid w:val="002B6423"/>
    <w:rsid w:val="002C00E2"/>
    <w:rsid w:val="002C1644"/>
    <w:rsid w:val="002C4A1A"/>
    <w:rsid w:val="002D5EA8"/>
    <w:rsid w:val="002E293E"/>
    <w:rsid w:val="002E6AC7"/>
    <w:rsid w:val="00310C57"/>
    <w:rsid w:val="00342C4E"/>
    <w:rsid w:val="00344F91"/>
    <w:rsid w:val="00346B7A"/>
    <w:rsid w:val="003507CB"/>
    <w:rsid w:val="00352446"/>
    <w:rsid w:val="00354780"/>
    <w:rsid w:val="00360ECC"/>
    <w:rsid w:val="00365ED7"/>
    <w:rsid w:val="0036720D"/>
    <w:rsid w:val="0037392F"/>
    <w:rsid w:val="0037617E"/>
    <w:rsid w:val="00382A0C"/>
    <w:rsid w:val="003858BF"/>
    <w:rsid w:val="00392908"/>
    <w:rsid w:val="00394A2C"/>
    <w:rsid w:val="003B5408"/>
    <w:rsid w:val="003B5BC7"/>
    <w:rsid w:val="003D0CA5"/>
    <w:rsid w:val="003D1777"/>
    <w:rsid w:val="003D1B15"/>
    <w:rsid w:val="003D3513"/>
    <w:rsid w:val="003D4E3E"/>
    <w:rsid w:val="003D53D0"/>
    <w:rsid w:val="003D6FC4"/>
    <w:rsid w:val="003E34CF"/>
    <w:rsid w:val="003E3E6D"/>
    <w:rsid w:val="003E5A1C"/>
    <w:rsid w:val="004030E9"/>
    <w:rsid w:val="00410BCC"/>
    <w:rsid w:val="0041512F"/>
    <w:rsid w:val="004206FC"/>
    <w:rsid w:val="004310F6"/>
    <w:rsid w:val="00434130"/>
    <w:rsid w:val="00435EDC"/>
    <w:rsid w:val="00444D2E"/>
    <w:rsid w:val="004465E4"/>
    <w:rsid w:val="004471BD"/>
    <w:rsid w:val="00447D8D"/>
    <w:rsid w:val="004517E5"/>
    <w:rsid w:val="004519EC"/>
    <w:rsid w:val="004519FA"/>
    <w:rsid w:val="00454E19"/>
    <w:rsid w:val="00472C6B"/>
    <w:rsid w:val="0047333E"/>
    <w:rsid w:val="00473FA7"/>
    <w:rsid w:val="00482EFE"/>
    <w:rsid w:val="00484699"/>
    <w:rsid w:val="004945D5"/>
    <w:rsid w:val="00495AAF"/>
    <w:rsid w:val="004978E6"/>
    <w:rsid w:val="00497BDF"/>
    <w:rsid w:val="004A29B0"/>
    <w:rsid w:val="004A47AC"/>
    <w:rsid w:val="004A6EE5"/>
    <w:rsid w:val="004B6133"/>
    <w:rsid w:val="004C01E0"/>
    <w:rsid w:val="004C6187"/>
    <w:rsid w:val="004E228E"/>
    <w:rsid w:val="004E3BD9"/>
    <w:rsid w:val="004E5F30"/>
    <w:rsid w:val="00504B31"/>
    <w:rsid w:val="0050760D"/>
    <w:rsid w:val="00507F1E"/>
    <w:rsid w:val="00510660"/>
    <w:rsid w:val="005163D4"/>
    <w:rsid w:val="0052068D"/>
    <w:rsid w:val="00531D9E"/>
    <w:rsid w:val="005327C8"/>
    <w:rsid w:val="00535274"/>
    <w:rsid w:val="00537ABC"/>
    <w:rsid w:val="00562DF8"/>
    <w:rsid w:val="00563D89"/>
    <w:rsid w:val="005648F6"/>
    <w:rsid w:val="005755ED"/>
    <w:rsid w:val="00575729"/>
    <w:rsid w:val="005768AE"/>
    <w:rsid w:val="00581315"/>
    <w:rsid w:val="00581A4E"/>
    <w:rsid w:val="005825DA"/>
    <w:rsid w:val="005928CE"/>
    <w:rsid w:val="0059559D"/>
    <w:rsid w:val="005A1AA3"/>
    <w:rsid w:val="005A2BE0"/>
    <w:rsid w:val="005A6A2C"/>
    <w:rsid w:val="005A6D0E"/>
    <w:rsid w:val="005B1B15"/>
    <w:rsid w:val="005B2A82"/>
    <w:rsid w:val="005B3043"/>
    <w:rsid w:val="005B395A"/>
    <w:rsid w:val="005C2FB0"/>
    <w:rsid w:val="005C3B36"/>
    <w:rsid w:val="005D0459"/>
    <w:rsid w:val="005D61B1"/>
    <w:rsid w:val="005D6D6D"/>
    <w:rsid w:val="005E0E70"/>
    <w:rsid w:val="005E254E"/>
    <w:rsid w:val="005E564E"/>
    <w:rsid w:val="005E6DF3"/>
    <w:rsid w:val="005F1476"/>
    <w:rsid w:val="005F1BE7"/>
    <w:rsid w:val="005F7D66"/>
    <w:rsid w:val="00600DE3"/>
    <w:rsid w:val="006142DC"/>
    <w:rsid w:val="006338BA"/>
    <w:rsid w:val="006359EB"/>
    <w:rsid w:val="00637E8B"/>
    <w:rsid w:val="00641109"/>
    <w:rsid w:val="00644768"/>
    <w:rsid w:val="00644EDA"/>
    <w:rsid w:val="0064667F"/>
    <w:rsid w:val="006574FB"/>
    <w:rsid w:val="00660EF9"/>
    <w:rsid w:val="0066761B"/>
    <w:rsid w:val="006711B6"/>
    <w:rsid w:val="00674E75"/>
    <w:rsid w:val="00675488"/>
    <w:rsid w:val="0068738F"/>
    <w:rsid w:val="006913D1"/>
    <w:rsid w:val="0069380D"/>
    <w:rsid w:val="00693D5D"/>
    <w:rsid w:val="006B3875"/>
    <w:rsid w:val="006B38CD"/>
    <w:rsid w:val="006B401F"/>
    <w:rsid w:val="006B4864"/>
    <w:rsid w:val="006C7B31"/>
    <w:rsid w:val="006C7D62"/>
    <w:rsid w:val="006D4A68"/>
    <w:rsid w:val="006D58C6"/>
    <w:rsid w:val="006D6183"/>
    <w:rsid w:val="006E2E2E"/>
    <w:rsid w:val="006E5845"/>
    <w:rsid w:val="006E707E"/>
    <w:rsid w:val="006E7FEB"/>
    <w:rsid w:val="006F064C"/>
    <w:rsid w:val="006F1594"/>
    <w:rsid w:val="006F3214"/>
    <w:rsid w:val="007034FA"/>
    <w:rsid w:val="00703AEF"/>
    <w:rsid w:val="00704D33"/>
    <w:rsid w:val="00710881"/>
    <w:rsid w:val="00711A34"/>
    <w:rsid w:val="007133D4"/>
    <w:rsid w:val="0071794B"/>
    <w:rsid w:val="00722340"/>
    <w:rsid w:val="00723A62"/>
    <w:rsid w:val="0073484C"/>
    <w:rsid w:val="00735CE4"/>
    <w:rsid w:val="00737D65"/>
    <w:rsid w:val="00745DC3"/>
    <w:rsid w:val="00746DEF"/>
    <w:rsid w:val="007477E7"/>
    <w:rsid w:val="00761B56"/>
    <w:rsid w:val="00762AA9"/>
    <w:rsid w:val="0076579A"/>
    <w:rsid w:val="0077277D"/>
    <w:rsid w:val="00780CF8"/>
    <w:rsid w:val="00784B8A"/>
    <w:rsid w:val="007926A0"/>
    <w:rsid w:val="0079612C"/>
    <w:rsid w:val="007A1D73"/>
    <w:rsid w:val="007A2447"/>
    <w:rsid w:val="007A4C2A"/>
    <w:rsid w:val="007B1A93"/>
    <w:rsid w:val="007B2680"/>
    <w:rsid w:val="007B5F06"/>
    <w:rsid w:val="007C2B07"/>
    <w:rsid w:val="007C3749"/>
    <w:rsid w:val="007D36E8"/>
    <w:rsid w:val="007E0BD5"/>
    <w:rsid w:val="007E26A9"/>
    <w:rsid w:val="007E49A7"/>
    <w:rsid w:val="007E55D6"/>
    <w:rsid w:val="007F29EE"/>
    <w:rsid w:val="007F2B88"/>
    <w:rsid w:val="007F3A5F"/>
    <w:rsid w:val="007F5E9A"/>
    <w:rsid w:val="007F7516"/>
    <w:rsid w:val="008035A1"/>
    <w:rsid w:val="00807469"/>
    <w:rsid w:val="00820C7D"/>
    <w:rsid w:val="00825FEB"/>
    <w:rsid w:val="00827339"/>
    <w:rsid w:val="00830BD1"/>
    <w:rsid w:val="008326DC"/>
    <w:rsid w:val="00832CE7"/>
    <w:rsid w:val="00847DF8"/>
    <w:rsid w:val="00850240"/>
    <w:rsid w:val="00852D21"/>
    <w:rsid w:val="008553D7"/>
    <w:rsid w:val="008560AB"/>
    <w:rsid w:val="00856708"/>
    <w:rsid w:val="0086363C"/>
    <w:rsid w:val="00866291"/>
    <w:rsid w:val="008674D3"/>
    <w:rsid w:val="00870524"/>
    <w:rsid w:val="00872826"/>
    <w:rsid w:val="00873D77"/>
    <w:rsid w:val="00880526"/>
    <w:rsid w:val="0088077A"/>
    <w:rsid w:val="00887E87"/>
    <w:rsid w:val="00893BF8"/>
    <w:rsid w:val="008A0E9F"/>
    <w:rsid w:val="008B1A45"/>
    <w:rsid w:val="008B44C4"/>
    <w:rsid w:val="008B5EAB"/>
    <w:rsid w:val="008B76C1"/>
    <w:rsid w:val="008C1D43"/>
    <w:rsid w:val="008D0E0B"/>
    <w:rsid w:val="008D3BE3"/>
    <w:rsid w:val="008D57F7"/>
    <w:rsid w:val="008E162F"/>
    <w:rsid w:val="008E24C8"/>
    <w:rsid w:val="008E3EB8"/>
    <w:rsid w:val="008E7235"/>
    <w:rsid w:val="008F777B"/>
    <w:rsid w:val="0090268E"/>
    <w:rsid w:val="0091383A"/>
    <w:rsid w:val="00913FE4"/>
    <w:rsid w:val="00914D88"/>
    <w:rsid w:val="00917406"/>
    <w:rsid w:val="00923662"/>
    <w:rsid w:val="009256F7"/>
    <w:rsid w:val="00927416"/>
    <w:rsid w:val="009332CC"/>
    <w:rsid w:val="00933BD5"/>
    <w:rsid w:val="009356CD"/>
    <w:rsid w:val="00936E28"/>
    <w:rsid w:val="00946364"/>
    <w:rsid w:val="00947AD7"/>
    <w:rsid w:val="009672DA"/>
    <w:rsid w:val="00980601"/>
    <w:rsid w:val="00981069"/>
    <w:rsid w:val="00983748"/>
    <w:rsid w:val="0098525F"/>
    <w:rsid w:val="00990433"/>
    <w:rsid w:val="009A0AFB"/>
    <w:rsid w:val="009A3DA2"/>
    <w:rsid w:val="009B3108"/>
    <w:rsid w:val="009B382C"/>
    <w:rsid w:val="009B7CAC"/>
    <w:rsid w:val="009C3C93"/>
    <w:rsid w:val="009C5B34"/>
    <w:rsid w:val="009C5C7F"/>
    <w:rsid w:val="009D076A"/>
    <w:rsid w:val="009D50C5"/>
    <w:rsid w:val="009E16A7"/>
    <w:rsid w:val="009E3858"/>
    <w:rsid w:val="009E6F4C"/>
    <w:rsid w:val="009F72BF"/>
    <w:rsid w:val="00A02012"/>
    <w:rsid w:val="00A0486C"/>
    <w:rsid w:val="00A05F3B"/>
    <w:rsid w:val="00A07105"/>
    <w:rsid w:val="00A11E73"/>
    <w:rsid w:val="00A150A6"/>
    <w:rsid w:val="00A20D4B"/>
    <w:rsid w:val="00A225A0"/>
    <w:rsid w:val="00A25B5F"/>
    <w:rsid w:val="00A26280"/>
    <w:rsid w:val="00A3217F"/>
    <w:rsid w:val="00A322B5"/>
    <w:rsid w:val="00A32BEA"/>
    <w:rsid w:val="00A32EEA"/>
    <w:rsid w:val="00A354F9"/>
    <w:rsid w:val="00A3756E"/>
    <w:rsid w:val="00A408B4"/>
    <w:rsid w:val="00A44F55"/>
    <w:rsid w:val="00A44FF6"/>
    <w:rsid w:val="00A475C2"/>
    <w:rsid w:val="00A4795F"/>
    <w:rsid w:val="00A503EB"/>
    <w:rsid w:val="00A51B99"/>
    <w:rsid w:val="00A55571"/>
    <w:rsid w:val="00A60182"/>
    <w:rsid w:val="00A6644D"/>
    <w:rsid w:val="00A742CF"/>
    <w:rsid w:val="00A82A20"/>
    <w:rsid w:val="00A83918"/>
    <w:rsid w:val="00A8502C"/>
    <w:rsid w:val="00A96075"/>
    <w:rsid w:val="00AA2B76"/>
    <w:rsid w:val="00AA5975"/>
    <w:rsid w:val="00AA5DB3"/>
    <w:rsid w:val="00AA7457"/>
    <w:rsid w:val="00AB2402"/>
    <w:rsid w:val="00AB3376"/>
    <w:rsid w:val="00AC5758"/>
    <w:rsid w:val="00AC65F8"/>
    <w:rsid w:val="00AD30AD"/>
    <w:rsid w:val="00AD3EEE"/>
    <w:rsid w:val="00AE3E19"/>
    <w:rsid w:val="00AE7B17"/>
    <w:rsid w:val="00AF00CA"/>
    <w:rsid w:val="00AF71BF"/>
    <w:rsid w:val="00B03A25"/>
    <w:rsid w:val="00B11C37"/>
    <w:rsid w:val="00B11E09"/>
    <w:rsid w:val="00B13AA2"/>
    <w:rsid w:val="00B14FA4"/>
    <w:rsid w:val="00B16390"/>
    <w:rsid w:val="00B169A0"/>
    <w:rsid w:val="00B16C0C"/>
    <w:rsid w:val="00B20F62"/>
    <w:rsid w:val="00B2220A"/>
    <w:rsid w:val="00B30CA3"/>
    <w:rsid w:val="00B329F4"/>
    <w:rsid w:val="00B32A3B"/>
    <w:rsid w:val="00B33762"/>
    <w:rsid w:val="00B340D0"/>
    <w:rsid w:val="00B34EDB"/>
    <w:rsid w:val="00B41EF5"/>
    <w:rsid w:val="00B4239E"/>
    <w:rsid w:val="00B42976"/>
    <w:rsid w:val="00B626FF"/>
    <w:rsid w:val="00B634C9"/>
    <w:rsid w:val="00B65BAA"/>
    <w:rsid w:val="00B74485"/>
    <w:rsid w:val="00B75D38"/>
    <w:rsid w:val="00B80388"/>
    <w:rsid w:val="00B80EA3"/>
    <w:rsid w:val="00B82E3E"/>
    <w:rsid w:val="00B857C1"/>
    <w:rsid w:val="00B91981"/>
    <w:rsid w:val="00B91E3C"/>
    <w:rsid w:val="00BA292A"/>
    <w:rsid w:val="00BA5170"/>
    <w:rsid w:val="00BA7A21"/>
    <w:rsid w:val="00BC7837"/>
    <w:rsid w:val="00BD31C1"/>
    <w:rsid w:val="00BE4269"/>
    <w:rsid w:val="00C065E6"/>
    <w:rsid w:val="00C12E99"/>
    <w:rsid w:val="00C134C7"/>
    <w:rsid w:val="00C20604"/>
    <w:rsid w:val="00C2647E"/>
    <w:rsid w:val="00C33E72"/>
    <w:rsid w:val="00C358C7"/>
    <w:rsid w:val="00C37B89"/>
    <w:rsid w:val="00C41722"/>
    <w:rsid w:val="00C44E84"/>
    <w:rsid w:val="00C46CEC"/>
    <w:rsid w:val="00C4777D"/>
    <w:rsid w:val="00C501D1"/>
    <w:rsid w:val="00C52D2D"/>
    <w:rsid w:val="00C565F3"/>
    <w:rsid w:val="00C569BC"/>
    <w:rsid w:val="00C625B7"/>
    <w:rsid w:val="00C6466F"/>
    <w:rsid w:val="00C66A58"/>
    <w:rsid w:val="00C7234A"/>
    <w:rsid w:val="00C7721B"/>
    <w:rsid w:val="00C8167A"/>
    <w:rsid w:val="00C81ECD"/>
    <w:rsid w:val="00C87B08"/>
    <w:rsid w:val="00C9116C"/>
    <w:rsid w:val="00C924B9"/>
    <w:rsid w:val="00C9719A"/>
    <w:rsid w:val="00C97467"/>
    <w:rsid w:val="00CA1EB1"/>
    <w:rsid w:val="00CA2CD4"/>
    <w:rsid w:val="00CA36F7"/>
    <w:rsid w:val="00CB2B41"/>
    <w:rsid w:val="00CB344B"/>
    <w:rsid w:val="00CB77D9"/>
    <w:rsid w:val="00CC0E9D"/>
    <w:rsid w:val="00CC3EFF"/>
    <w:rsid w:val="00CC641B"/>
    <w:rsid w:val="00CC6E60"/>
    <w:rsid w:val="00CC7373"/>
    <w:rsid w:val="00CD04A1"/>
    <w:rsid w:val="00CD14BA"/>
    <w:rsid w:val="00CD5B03"/>
    <w:rsid w:val="00CE5485"/>
    <w:rsid w:val="00CE7C7F"/>
    <w:rsid w:val="00CF0693"/>
    <w:rsid w:val="00CF307C"/>
    <w:rsid w:val="00D006A8"/>
    <w:rsid w:val="00D05886"/>
    <w:rsid w:val="00D07B75"/>
    <w:rsid w:val="00D12331"/>
    <w:rsid w:val="00D12DB9"/>
    <w:rsid w:val="00D157CD"/>
    <w:rsid w:val="00D16B38"/>
    <w:rsid w:val="00D16E39"/>
    <w:rsid w:val="00D17F5F"/>
    <w:rsid w:val="00D30F46"/>
    <w:rsid w:val="00D31B3A"/>
    <w:rsid w:val="00D3334B"/>
    <w:rsid w:val="00D3719A"/>
    <w:rsid w:val="00D427E4"/>
    <w:rsid w:val="00D47C66"/>
    <w:rsid w:val="00D506C3"/>
    <w:rsid w:val="00D51F05"/>
    <w:rsid w:val="00D548C7"/>
    <w:rsid w:val="00D61374"/>
    <w:rsid w:val="00D61BA1"/>
    <w:rsid w:val="00D656B3"/>
    <w:rsid w:val="00D71A11"/>
    <w:rsid w:val="00D73B4A"/>
    <w:rsid w:val="00D77214"/>
    <w:rsid w:val="00D81B3B"/>
    <w:rsid w:val="00D824EA"/>
    <w:rsid w:val="00D85176"/>
    <w:rsid w:val="00D907BC"/>
    <w:rsid w:val="00D912D5"/>
    <w:rsid w:val="00D92361"/>
    <w:rsid w:val="00D92379"/>
    <w:rsid w:val="00D97CBD"/>
    <w:rsid w:val="00DA2C30"/>
    <w:rsid w:val="00DB2E40"/>
    <w:rsid w:val="00DC079D"/>
    <w:rsid w:val="00DC546E"/>
    <w:rsid w:val="00DD6FE4"/>
    <w:rsid w:val="00DD794D"/>
    <w:rsid w:val="00DE4B01"/>
    <w:rsid w:val="00DF05D8"/>
    <w:rsid w:val="00DF29FF"/>
    <w:rsid w:val="00E00B67"/>
    <w:rsid w:val="00E126D2"/>
    <w:rsid w:val="00E14EF8"/>
    <w:rsid w:val="00E15830"/>
    <w:rsid w:val="00E21040"/>
    <w:rsid w:val="00E21492"/>
    <w:rsid w:val="00E261EC"/>
    <w:rsid w:val="00E26DF6"/>
    <w:rsid w:val="00E30C76"/>
    <w:rsid w:val="00E34484"/>
    <w:rsid w:val="00E37EFA"/>
    <w:rsid w:val="00E4373A"/>
    <w:rsid w:val="00E442F3"/>
    <w:rsid w:val="00E4566D"/>
    <w:rsid w:val="00E518CE"/>
    <w:rsid w:val="00E51B2D"/>
    <w:rsid w:val="00E62872"/>
    <w:rsid w:val="00E64C8B"/>
    <w:rsid w:val="00E65E48"/>
    <w:rsid w:val="00E679BA"/>
    <w:rsid w:val="00E80870"/>
    <w:rsid w:val="00E80A93"/>
    <w:rsid w:val="00E80B00"/>
    <w:rsid w:val="00E8538D"/>
    <w:rsid w:val="00E8744D"/>
    <w:rsid w:val="00E9302A"/>
    <w:rsid w:val="00E947C1"/>
    <w:rsid w:val="00E95C45"/>
    <w:rsid w:val="00EA5224"/>
    <w:rsid w:val="00EA5C29"/>
    <w:rsid w:val="00EC767F"/>
    <w:rsid w:val="00ED0343"/>
    <w:rsid w:val="00ED2544"/>
    <w:rsid w:val="00EF0495"/>
    <w:rsid w:val="00EF151A"/>
    <w:rsid w:val="00EF77DA"/>
    <w:rsid w:val="00F0186D"/>
    <w:rsid w:val="00F1238D"/>
    <w:rsid w:val="00F13B5B"/>
    <w:rsid w:val="00F238E4"/>
    <w:rsid w:val="00F240BD"/>
    <w:rsid w:val="00F251B6"/>
    <w:rsid w:val="00F25B82"/>
    <w:rsid w:val="00F31B59"/>
    <w:rsid w:val="00F335ED"/>
    <w:rsid w:val="00F33601"/>
    <w:rsid w:val="00F34811"/>
    <w:rsid w:val="00F372D8"/>
    <w:rsid w:val="00F4081C"/>
    <w:rsid w:val="00F42B7D"/>
    <w:rsid w:val="00F504FA"/>
    <w:rsid w:val="00F56724"/>
    <w:rsid w:val="00F56964"/>
    <w:rsid w:val="00F57FAE"/>
    <w:rsid w:val="00F667F1"/>
    <w:rsid w:val="00F72840"/>
    <w:rsid w:val="00F731EF"/>
    <w:rsid w:val="00F81A17"/>
    <w:rsid w:val="00F820A7"/>
    <w:rsid w:val="00F83290"/>
    <w:rsid w:val="00F8562F"/>
    <w:rsid w:val="00F86606"/>
    <w:rsid w:val="00F90FDB"/>
    <w:rsid w:val="00F91C4A"/>
    <w:rsid w:val="00FA1520"/>
    <w:rsid w:val="00FA18CD"/>
    <w:rsid w:val="00FA595F"/>
    <w:rsid w:val="00FB3C3E"/>
    <w:rsid w:val="00FB6C44"/>
    <w:rsid w:val="00FC3A55"/>
    <w:rsid w:val="00FC6D30"/>
    <w:rsid w:val="00FD247D"/>
    <w:rsid w:val="00FD5214"/>
    <w:rsid w:val="00FD534F"/>
    <w:rsid w:val="00FE3B27"/>
    <w:rsid w:val="00FE5D3E"/>
    <w:rsid w:val="00FE788D"/>
    <w:rsid w:val="00FF0220"/>
    <w:rsid w:val="058A5E9A"/>
    <w:rsid w:val="08B008DB"/>
    <w:rsid w:val="0DC04F0C"/>
    <w:rsid w:val="0DE86B5B"/>
    <w:rsid w:val="0F6169D3"/>
    <w:rsid w:val="14F212EA"/>
    <w:rsid w:val="176E3BFD"/>
    <w:rsid w:val="183C1BC5"/>
    <w:rsid w:val="183C1FB5"/>
    <w:rsid w:val="1A1364C3"/>
    <w:rsid w:val="1E803E86"/>
    <w:rsid w:val="21D77874"/>
    <w:rsid w:val="22B91B86"/>
    <w:rsid w:val="29016464"/>
    <w:rsid w:val="29F55728"/>
    <w:rsid w:val="2A0601B9"/>
    <w:rsid w:val="2B5A04CB"/>
    <w:rsid w:val="2F2A7C22"/>
    <w:rsid w:val="2F6760D2"/>
    <w:rsid w:val="335D03BB"/>
    <w:rsid w:val="36F7553A"/>
    <w:rsid w:val="44AB315B"/>
    <w:rsid w:val="457F50B3"/>
    <w:rsid w:val="47167A74"/>
    <w:rsid w:val="48525CD7"/>
    <w:rsid w:val="4BF51DBA"/>
    <w:rsid w:val="4DA40F5F"/>
    <w:rsid w:val="5042239C"/>
    <w:rsid w:val="55E47079"/>
    <w:rsid w:val="56A1616C"/>
    <w:rsid w:val="587C29ED"/>
    <w:rsid w:val="5C59277D"/>
    <w:rsid w:val="5D0F1FBD"/>
    <w:rsid w:val="60272179"/>
    <w:rsid w:val="67627252"/>
    <w:rsid w:val="68DE6C5A"/>
    <w:rsid w:val="6D01540E"/>
    <w:rsid w:val="701F0781"/>
    <w:rsid w:val="73C03C7E"/>
    <w:rsid w:val="777F5BFE"/>
    <w:rsid w:val="78E171B5"/>
    <w:rsid w:val="7F267C06"/>
    <w:rsid w:val="7F967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autoRedefine/>
    <w:qFormat/>
    <w:uiPriority w:val="9"/>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4"/>
    <w:autoRedefine/>
    <w:semiHidden/>
    <w:unhideWhenUsed/>
    <w:qFormat/>
    <w:uiPriority w:val="99"/>
    <w:pPr>
      <w:jc w:val="left"/>
    </w:pPr>
  </w:style>
  <w:style w:type="paragraph" w:styleId="4">
    <w:name w:val="Balloon Text"/>
    <w:basedOn w:val="1"/>
    <w:link w:val="16"/>
    <w:autoRedefine/>
    <w:semiHidden/>
    <w:unhideWhenUsed/>
    <w:qFormat/>
    <w:uiPriority w:val="99"/>
    <w:rPr>
      <w:sz w:val="18"/>
      <w:szCs w:val="18"/>
    </w:rPr>
  </w:style>
  <w:style w:type="paragraph" w:styleId="5">
    <w:name w:val="footer"/>
    <w:basedOn w:val="1"/>
    <w:link w:val="12"/>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autoRedefine/>
    <w:semiHidden/>
    <w:unhideWhenUsed/>
    <w:qFormat/>
    <w:uiPriority w:val="99"/>
    <w:rPr>
      <w:b/>
      <w:bCs/>
    </w:rPr>
  </w:style>
  <w:style w:type="character" w:styleId="10">
    <w:name w:val="annotation reference"/>
    <w:basedOn w:val="9"/>
    <w:autoRedefine/>
    <w:semiHidden/>
    <w:unhideWhenUsed/>
    <w:qFormat/>
    <w:uiPriority w:val="99"/>
    <w:rPr>
      <w:sz w:val="21"/>
      <w:szCs w:val="21"/>
    </w:rPr>
  </w:style>
  <w:style w:type="character" w:customStyle="1" w:styleId="11">
    <w:name w:val="页眉 Char"/>
    <w:basedOn w:val="9"/>
    <w:link w:val="6"/>
    <w:autoRedefine/>
    <w:qFormat/>
    <w:uiPriority w:val="99"/>
    <w:rPr>
      <w:sz w:val="18"/>
      <w:szCs w:val="18"/>
    </w:rPr>
  </w:style>
  <w:style w:type="character" w:customStyle="1" w:styleId="12">
    <w:name w:val="页脚 Char"/>
    <w:basedOn w:val="9"/>
    <w:link w:val="5"/>
    <w:autoRedefine/>
    <w:qFormat/>
    <w:uiPriority w:val="99"/>
    <w:rPr>
      <w:sz w:val="18"/>
      <w:szCs w:val="18"/>
    </w:rPr>
  </w:style>
  <w:style w:type="paragraph" w:styleId="13">
    <w:name w:val="List Paragraph"/>
    <w:basedOn w:val="1"/>
    <w:autoRedefine/>
    <w:qFormat/>
    <w:uiPriority w:val="99"/>
    <w:pPr>
      <w:ind w:firstLine="420" w:firstLineChars="200"/>
    </w:pPr>
  </w:style>
  <w:style w:type="character" w:customStyle="1" w:styleId="14">
    <w:name w:val="批注文字 Char"/>
    <w:basedOn w:val="9"/>
    <w:link w:val="3"/>
    <w:autoRedefine/>
    <w:semiHidden/>
    <w:qFormat/>
    <w:uiPriority w:val="99"/>
  </w:style>
  <w:style w:type="character" w:customStyle="1" w:styleId="15">
    <w:name w:val="批注主题 Char"/>
    <w:basedOn w:val="14"/>
    <w:link w:val="7"/>
    <w:autoRedefine/>
    <w:semiHidden/>
    <w:qFormat/>
    <w:uiPriority w:val="99"/>
    <w:rPr>
      <w:b/>
      <w:bCs/>
    </w:rPr>
  </w:style>
  <w:style w:type="character" w:customStyle="1" w:styleId="16">
    <w:name w:val="批注框文本 Char"/>
    <w:basedOn w:val="9"/>
    <w:link w:val="4"/>
    <w:autoRedefine/>
    <w:semiHidden/>
    <w:qFormat/>
    <w:uiPriority w:val="99"/>
    <w:rPr>
      <w:sz w:val="18"/>
      <w:szCs w:val="18"/>
    </w:rPr>
  </w:style>
  <w:style w:type="character" w:customStyle="1" w:styleId="17">
    <w:name w:val="font61"/>
    <w:basedOn w:val="9"/>
    <w:autoRedefine/>
    <w:qFormat/>
    <w:uiPriority w:val="0"/>
    <w:rPr>
      <w:rFonts w:hint="default" w:ascii="Times New Roman" w:hAnsi="Times New Roman" w:cs="Times New Roman"/>
      <w:b/>
      <w:bCs/>
      <w:color w:val="000000"/>
      <w:sz w:val="32"/>
      <w:szCs w:val="32"/>
      <w:u w:val="none"/>
    </w:rPr>
  </w:style>
  <w:style w:type="character" w:customStyle="1" w:styleId="18">
    <w:name w:val="font01"/>
    <w:basedOn w:val="9"/>
    <w:autoRedefine/>
    <w:qFormat/>
    <w:uiPriority w:val="0"/>
    <w:rPr>
      <w:rFonts w:hint="eastAsia" w:ascii="宋体" w:hAnsi="宋体" w:eastAsia="宋体" w:cs="宋体"/>
      <w:b/>
      <w:bCs/>
      <w:color w:val="000000"/>
      <w:sz w:val="32"/>
      <w:szCs w:val="32"/>
      <w:u w:val="none"/>
    </w:rPr>
  </w:style>
  <w:style w:type="character" w:customStyle="1" w:styleId="19">
    <w:name w:val="font11"/>
    <w:basedOn w:val="9"/>
    <w:autoRedefine/>
    <w:qFormat/>
    <w:uiPriority w:val="0"/>
    <w:rPr>
      <w:rFonts w:hint="eastAsia" w:ascii="宋体" w:hAnsi="宋体" w:eastAsia="宋体" w:cs="宋体"/>
      <w:color w:val="000000"/>
      <w:sz w:val="21"/>
      <w:szCs w:val="21"/>
      <w:u w:val="none"/>
    </w:rPr>
  </w:style>
  <w:style w:type="paragraph" w:styleId="20">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1">
    <w:name w:val="标题 1 Char"/>
    <w:basedOn w:val="9"/>
    <w:link w:val="2"/>
    <w:autoRedefine/>
    <w:qFormat/>
    <w:uiPriority w:val="9"/>
    <w:rPr>
      <w:b/>
      <w:bCs/>
      <w:kern w:val="44"/>
      <w:sz w:val="44"/>
      <w:szCs w:val="44"/>
    </w:rPr>
  </w:style>
  <w:style w:type="paragraph" w:customStyle="1" w:styleId="22">
    <w:name w:val="修订1"/>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ABD44-ED4D-460E-AAA4-8579B8A9D9C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Pages>
  <Words>1176</Words>
  <Characters>6706</Characters>
  <Lines>55</Lines>
  <Paragraphs>15</Paragraphs>
  <TotalTime>2</TotalTime>
  <ScaleCrop>false</ScaleCrop>
  <LinksUpToDate>false</LinksUpToDate>
  <CharactersWithSpaces>7867</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2024-03-03T05:13:00Z</dcterms:created>
  <dc:creator>NTKO</dc:creator>
  <cp:lastModifiedBy>WPS_1609633878</cp:lastModifiedBy>
  <cp:lastPrinted>2024-03-11T19:21:00Z</cp:lastPrinted>
  <dcterms:modified xsi:type="dcterms:W3CDTF">2024-03-14T08:20:03Z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E3B641A564CF4B2BA4620FBFF8AF4F21_13</vt:lpwstr>
  </property>
</Properties>
</file>