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0C" w:rsidRDefault="002F5CDE">
      <w:pPr>
        <w:widowControl/>
        <w:tabs>
          <w:tab w:val="left" w:pos="1208"/>
          <w:tab w:val="center" w:pos="4536"/>
        </w:tabs>
        <w:spacing w:line="560" w:lineRule="exact"/>
        <w:jc w:val="left"/>
        <w:rPr>
          <w:rFonts w:ascii="方正小标宋简体" w:eastAsia="方正小标宋简体" w:hAnsi="仿宋"/>
          <w:sz w:val="36"/>
          <w:szCs w:val="36"/>
        </w:rPr>
      </w:pPr>
      <w:r>
        <w:rPr>
          <w:rFonts w:ascii="方正小标宋简体" w:eastAsia="方正小标宋简体" w:hAnsi="仿宋"/>
          <w:sz w:val="36"/>
          <w:szCs w:val="36"/>
        </w:rPr>
        <w:tab/>
      </w:r>
      <w:r>
        <w:rPr>
          <w:rFonts w:ascii="方正小标宋简体" w:eastAsia="方正小标宋简体" w:hAnsi="仿宋"/>
          <w:sz w:val="36"/>
          <w:szCs w:val="36"/>
        </w:rPr>
        <w:tab/>
      </w:r>
      <w:r>
        <w:rPr>
          <w:rFonts w:ascii="方正小标宋简体" w:eastAsia="方正小标宋简体" w:hAnsi="仿宋" w:hint="eastAsia"/>
          <w:sz w:val="36"/>
          <w:szCs w:val="36"/>
        </w:rPr>
        <w:t>2022年度南京市科技成果转化服务中心</w:t>
      </w:r>
    </w:p>
    <w:p w:rsidR="00EB0E0C" w:rsidRDefault="002F5CDE">
      <w:pPr>
        <w:widowControl/>
        <w:spacing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整体预算绩效自评价报告</w:t>
      </w:r>
    </w:p>
    <w:p w:rsidR="00EB0E0C" w:rsidRDefault="00EB0E0C">
      <w:pPr>
        <w:widowControl/>
        <w:spacing w:line="520" w:lineRule="exact"/>
        <w:ind w:firstLineChars="200" w:firstLine="640"/>
        <w:jc w:val="left"/>
        <w:rPr>
          <w:rFonts w:ascii="黑体" w:eastAsia="黑体" w:hAnsi="黑体" w:cs="宋体"/>
          <w:color w:val="000000"/>
          <w:kern w:val="0"/>
          <w:sz w:val="32"/>
          <w:szCs w:val="32"/>
        </w:rPr>
      </w:pPr>
    </w:p>
    <w:p w:rsidR="00EB0E0C" w:rsidRDefault="002F5CDE">
      <w:pPr>
        <w:widowControl/>
        <w:spacing w:line="52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一、部门（单位）概况</w:t>
      </w:r>
    </w:p>
    <w:p w:rsidR="00EB0E0C" w:rsidRDefault="002F5CDE">
      <w:pPr>
        <w:spacing w:line="5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（一）部门（单位）基本情况</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南京市科技成果转化服务中心是南京市科技局直属事业单位，主要从事科技成果信息和企业需求信息的征集、发布、对接；开展技术合同的登记和统计分析，技术交易的协调，新型研发机构及科技企业培育；为科技型中小企业及科技人员提供科技政务、科技金融、科技创业、知识产权、科技培训、科技展览等服务。中心为公益性科技中介服务机构，拥有国家技术转移示范机构、江苏省咨询业</w:t>
      </w:r>
      <w:r>
        <w:rPr>
          <w:rFonts w:ascii="方正仿宋_GBK" w:eastAsia="方正仿宋_GBK" w:hAnsi="方正仿宋_GBK" w:cs="方正仿宋_GBK"/>
          <w:color w:val="000000" w:themeColor="text1"/>
          <w:kern w:val="0"/>
          <w:sz w:val="32"/>
          <w:szCs w:val="32"/>
        </w:rPr>
        <w:t>AAA级信誉机构、江苏省骨干科技服务机构、江苏双创实训基地等资质，并</w:t>
      </w:r>
      <w:proofErr w:type="gramStart"/>
      <w:r>
        <w:rPr>
          <w:rFonts w:ascii="方正仿宋_GBK" w:eastAsia="方正仿宋_GBK" w:hAnsi="方正仿宋_GBK" w:cs="方正仿宋_GBK"/>
          <w:color w:val="000000" w:themeColor="text1"/>
          <w:kern w:val="0"/>
          <w:sz w:val="32"/>
          <w:szCs w:val="32"/>
        </w:rPr>
        <w:t>挂国家</w:t>
      </w:r>
      <w:proofErr w:type="gramEnd"/>
      <w:r>
        <w:rPr>
          <w:rFonts w:ascii="方正仿宋_GBK" w:eastAsia="方正仿宋_GBK" w:hAnsi="方正仿宋_GBK" w:cs="方正仿宋_GBK"/>
          <w:color w:val="000000" w:themeColor="text1"/>
          <w:kern w:val="0"/>
          <w:sz w:val="32"/>
          <w:szCs w:val="32"/>
        </w:rPr>
        <w:t>专利技术（南京）展示交易中心、南京市科技创新创业金融服务中心等牌子。</w:t>
      </w:r>
      <w:r>
        <w:rPr>
          <w:rFonts w:ascii="方正仿宋_GBK" w:eastAsia="方正仿宋_GBK" w:hAnsi="方正仿宋_GBK" w:cs="方正仿宋_GBK" w:hint="eastAsia"/>
          <w:color w:val="000000" w:themeColor="text1"/>
          <w:kern w:val="0"/>
          <w:sz w:val="32"/>
          <w:szCs w:val="32"/>
        </w:rPr>
        <w:t>建有门户网站以及“南京市科技计划管理信息系统”等业务平台。作为南京市科技局为全市提供科技综合服务的窗口，中心长期从事成果转化和科技创新创业服务，具有较丰富的科技资源、较高的业务集成度、较完善的服务功能，满足了不同服务对象的多层次需求。</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2022年末编办核准转化中心编制为60人，其中管理岗13人，专业技术岗位45人，工</w:t>
      </w:r>
      <w:proofErr w:type="gramStart"/>
      <w:r>
        <w:rPr>
          <w:rFonts w:ascii="方正仿宋_GBK" w:eastAsia="方正仿宋_GBK" w:hAnsi="方正仿宋_GBK" w:cs="方正仿宋_GBK" w:hint="eastAsia"/>
          <w:kern w:val="0"/>
          <w:sz w:val="32"/>
          <w:szCs w:val="32"/>
        </w:rPr>
        <w:t>勤岗位</w:t>
      </w:r>
      <w:proofErr w:type="gramEnd"/>
      <w:r>
        <w:rPr>
          <w:rFonts w:ascii="方正仿宋_GBK" w:eastAsia="方正仿宋_GBK" w:hAnsi="方正仿宋_GBK" w:cs="方正仿宋_GBK" w:hint="eastAsia"/>
          <w:kern w:val="0"/>
          <w:sz w:val="32"/>
          <w:szCs w:val="32"/>
        </w:rPr>
        <w:t>2人；现有在岗人员63人，其中在编人员49人，编外人员1</w:t>
      </w:r>
      <w:r>
        <w:rPr>
          <w:rFonts w:ascii="方正仿宋_GBK" w:eastAsia="方正仿宋_GBK" w:hAnsi="方正仿宋_GBK" w:cs="方正仿宋_GBK"/>
          <w:kern w:val="0"/>
          <w:sz w:val="32"/>
          <w:szCs w:val="32"/>
        </w:rPr>
        <w:t>4</w:t>
      </w:r>
      <w:r>
        <w:rPr>
          <w:rFonts w:ascii="方正仿宋_GBK" w:eastAsia="方正仿宋_GBK" w:hAnsi="方正仿宋_GBK" w:cs="方正仿宋_GBK" w:hint="eastAsia"/>
          <w:kern w:val="0"/>
          <w:sz w:val="32"/>
          <w:szCs w:val="32"/>
        </w:rPr>
        <w:t>人；在职党员</w:t>
      </w:r>
      <w:r>
        <w:rPr>
          <w:rFonts w:ascii="方正仿宋_GBK" w:eastAsia="方正仿宋_GBK" w:hAnsi="方正仿宋_GBK" w:cs="方正仿宋_GBK"/>
          <w:kern w:val="0"/>
          <w:sz w:val="32"/>
          <w:szCs w:val="32"/>
        </w:rPr>
        <w:t>4</w:t>
      </w:r>
      <w:r>
        <w:rPr>
          <w:rFonts w:ascii="方正仿宋_GBK" w:eastAsia="方正仿宋_GBK" w:hAnsi="方正仿宋_GBK" w:cs="方正仿宋_GBK" w:hint="eastAsia"/>
          <w:kern w:val="0"/>
          <w:sz w:val="32"/>
          <w:szCs w:val="32"/>
        </w:rPr>
        <w:t>1人。转化中心领导岗位：主任1人，书记1人，副主任3人，50岁以上</w:t>
      </w:r>
      <w:r>
        <w:rPr>
          <w:rFonts w:ascii="方正仿宋_GBK" w:eastAsia="方正仿宋_GBK" w:hAnsi="方正仿宋_GBK" w:cs="方正仿宋_GBK"/>
          <w:kern w:val="0"/>
          <w:sz w:val="32"/>
          <w:szCs w:val="32"/>
        </w:rPr>
        <w:t>2</w:t>
      </w:r>
      <w:r>
        <w:rPr>
          <w:rFonts w:ascii="方正仿宋_GBK" w:eastAsia="方正仿宋_GBK" w:hAnsi="方正仿宋_GBK" w:cs="方正仿宋_GBK" w:hint="eastAsia"/>
          <w:kern w:val="0"/>
          <w:sz w:val="32"/>
          <w:szCs w:val="32"/>
        </w:rPr>
        <w:t>人。中层领导岗位：中心现有</w:t>
      </w:r>
      <w:r>
        <w:rPr>
          <w:rFonts w:ascii="方正仿宋_GBK" w:eastAsia="方正仿宋_GBK" w:hAnsi="方正仿宋_GBK" w:cs="方正仿宋_GBK"/>
          <w:kern w:val="0"/>
          <w:sz w:val="32"/>
          <w:szCs w:val="32"/>
        </w:rPr>
        <w:t>9</w:t>
      </w:r>
      <w:r>
        <w:rPr>
          <w:rFonts w:ascii="方正仿宋_GBK" w:eastAsia="方正仿宋_GBK" w:hAnsi="方正仿宋_GBK" w:cs="方正仿宋_GBK" w:hint="eastAsia"/>
          <w:kern w:val="0"/>
          <w:sz w:val="32"/>
          <w:szCs w:val="32"/>
        </w:rPr>
        <w:t>个部门，配备中层干部18人，其中部门</w:t>
      </w:r>
      <w:r>
        <w:rPr>
          <w:rFonts w:ascii="方正仿宋_GBK" w:eastAsia="方正仿宋_GBK" w:hAnsi="方正仿宋_GBK" w:cs="方正仿宋_GBK" w:hint="eastAsia"/>
          <w:kern w:val="0"/>
          <w:sz w:val="32"/>
          <w:szCs w:val="32"/>
        </w:rPr>
        <w:lastRenderedPageBreak/>
        <w:t>正职9人，副职9人。专业技术职称情况：专业技术正高职称2人，副高职称14人，中级职称23人。</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2022年末转化中心资产总额10424.00万元，其中货币资金6291.60万元，固定资产净值1593.13万元，无形资产净值202.14万元，其他应收款69.32万元。</w:t>
      </w:r>
    </w:p>
    <w:p w:rsidR="00EB0E0C" w:rsidRDefault="002F5CDE">
      <w:pPr>
        <w:spacing w:line="5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（二）部门（单位）收支情况</w:t>
      </w:r>
    </w:p>
    <w:p w:rsidR="00EB0E0C" w:rsidRDefault="002F5CDE">
      <w:pPr>
        <w:widowControl/>
        <w:adjustRightInd w:val="0"/>
        <w:snapToGrid w:val="0"/>
        <w:spacing w:line="600" w:lineRule="exact"/>
        <w:ind w:firstLineChars="200" w:firstLine="643"/>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1.</w:t>
      </w:r>
      <w:r>
        <w:rPr>
          <w:rFonts w:ascii="方正仿宋_GBK" w:eastAsia="方正仿宋_GBK" w:hAnsi="方正仿宋_GBK" w:cs="方正仿宋_GBK"/>
          <w:b/>
          <w:kern w:val="0"/>
          <w:sz w:val="32"/>
          <w:szCs w:val="32"/>
        </w:rPr>
        <w:t xml:space="preserve"> </w:t>
      </w:r>
      <w:r>
        <w:rPr>
          <w:rFonts w:ascii="方正仿宋_GBK" w:eastAsia="方正仿宋_GBK" w:hAnsi="方正仿宋_GBK" w:cs="方正仿宋_GBK" w:hint="eastAsia"/>
          <w:b/>
          <w:kern w:val="0"/>
          <w:sz w:val="32"/>
          <w:szCs w:val="32"/>
        </w:rPr>
        <w:t>2022年度预算收支情况</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2022年转化中心收入总额为4381.82万元，其中财政拨款收入为3939.78万元，事业收入362.45万元，其他收入79.60万元。</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2022年转化中心支出总额为4205.48万元，其中人员经费支出2011.57万元，日常公用经费支出230.78万元，项目经费支出1963.13万元。</w:t>
      </w:r>
    </w:p>
    <w:p w:rsidR="00EB0E0C" w:rsidRDefault="002F5CDE">
      <w:pPr>
        <w:widowControl/>
        <w:adjustRightInd w:val="0"/>
        <w:snapToGrid w:val="0"/>
        <w:spacing w:line="600" w:lineRule="exact"/>
        <w:ind w:firstLineChars="200" w:firstLine="643"/>
        <w:rPr>
          <w:rFonts w:ascii="方正仿宋_GBK" w:eastAsia="方正仿宋_GBK" w:hAnsi="方正仿宋_GBK" w:cs="方正仿宋_GBK"/>
          <w:b/>
          <w:kern w:val="0"/>
          <w:sz w:val="32"/>
          <w:szCs w:val="32"/>
        </w:rPr>
      </w:pPr>
      <w:r>
        <w:rPr>
          <w:rFonts w:ascii="方正仿宋_GBK" w:eastAsia="方正仿宋_GBK" w:hAnsi="方正仿宋_GBK" w:cs="方正仿宋_GBK" w:hint="eastAsia"/>
          <w:b/>
          <w:kern w:val="0"/>
          <w:sz w:val="32"/>
          <w:szCs w:val="32"/>
        </w:rPr>
        <w:t>2.</w:t>
      </w:r>
      <w:r>
        <w:rPr>
          <w:rFonts w:ascii="方正仿宋_GBK" w:eastAsia="方正仿宋_GBK" w:hAnsi="方正仿宋_GBK" w:cs="方正仿宋_GBK"/>
          <w:b/>
          <w:kern w:val="0"/>
          <w:sz w:val="32"/>
          <w:szCs w:val="32"/>
        </w:rPr>
        <w:t xml:space="preserve"> </w:t>
      </w:r>
      <w:r>
        <w:rPr>
          <w:rFonts w:ascii="方正仿宋_GBK" w:eastAsia="方正仿宋_GBK" w:hAnsi="方正仿宋_GBK" w:cs="方正仿宋_GBK" w:hint="eastAsia"/>
          <w:b/>
          <w:kern w:val="0"/>
          <w:sz w:val="32"/>
          <w:szCs w:val="32"/>
        </w:rPr>
        <w:t>2022年度预算执行情况</w:t>
      </w:r>
    </w:p>
    <w:p w:rsidR="00EB0E0C" w:rsidRDefault="002F5CDE">
      <w:pPr>
        <w:tabs>
          <w:tab w:val="right" w:pos="7666"/>
        </w:tabs>
        <w:adjustRightInd w:val="0"/>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t>2022年转化中心收入预算数为4024.06万元，收入决算为4381.82万元。增加主要原因为</w:t>
      </w:r>
      <w:r>
        <w:rPr>
          <w:rFonts w:ascii="方正仿宋_GBK" w:eastAsia="方正仿宋_GBK" w:hAnsi="方正仿宋_GBK" w:cs="方正仿宋_GBK" w:hint="eastAsia"/>
          <w:bCs/>
          <w:sz w:val="32"/>
          <w:szCs w:val="32"/>
        </w:rPr>
        <w:t>在编人员变动、离退休工资福利政策性调整而增加的财政拨款收入、委托事务性工作经费收入和技术合同登记</w:t>
      </w:r>
      <w:proofErr w:type="gramStart"/>
      <w:r>
        <w:rPr>
          <w:rFonts w:ascii="方正仿宋_GBK" w:eastAsia="方正仿宋_GBK" w:hAnsi="方正仿宋_GBK" w:cs="方正仿宋_GBK" w:hint="eastAsia"/>
          <w:bCs/>
          <w:sz w:val="32"/>
          <w:szCs w:val="32"/>
        </w:rPr>
        <w:t>机构奖补</w:t>
      </w:r>
      <w:proofErr w:type="gramEnd"/>
      <w:r>
        <w:rPr>
          <w:rFonts w:ascii="方正仿宋_GBK" w:eastAsia="方正仿宋_GBK" w:hAnsi="方正仿宋_GBK" w:cs="方正仿宋_GBK" w:hint="eastAsia"/>
          <w:bCs/>
          <w:sz w:val="32"/>
          <w:szCs w:val="32"/>
        </w:rPr>
        <w:t>收入。</w:t>
      </w:r>
    </w:p>
    <w:p w:rsidR="00EB0E0C" w:rsidRDefault="002F5CDE">
      <w:pPr>
        <w:tabs>
          <w:tab w:val="right" w:pos="7666"/>
        </w:tabs>
        <w:adjustRightInd w:val="0"/>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t>2022年度转化中心支出预算4024.06万元，支出决算为4205.48万元，其中人员经费预算为1709.08万元，决算为2011.57万元，增加主要原因为</w:t>
      </w:r>
      <w:r>
        <w:rPr>
          <w:rFonts w:ascii="方正仿宋_GBK" w:eastAsia="方正仿宋_GBK" w:hAnsi="方正仿宋_GBK" w:cs="方正仿宋_GBK" w:hint="eastAsia"/>
          <w:bCs/>
          <w:sz w:val="32"/>
          <w:szCs w:val="32"/>
        </w:rPr>
        <w:t>在编人员变动、离退休工资福利政策性调整而增加的支出。日常公用经费支出预算数为256.59万元，决算数为230.78万元，减少主要原因为严格控制公务招待和会议、培训活动，“三公”经费支出减少。项目支出预算为2058.39万元，</w:t>
      </w:r>
      <w:r>
        <w:rPr>
          <w:rFonts w:ascii="方正仿宋_GBK" w:eastAsia="方正仿宋_GBK" w:hAnsi="方正仿宋_GBK" w:cs="方正仿宋_GBK" w:hint="eastAsia"/>
          <w:bCs/>
          <w:sz w:val="32"/>
          <w:szCs w:val="32"/>
        </w:rPr>
        <w:lastRenderedPageBreak/>
        <w:t>决算为</w:t>
      </w:r>
      <w:r>
        <w:rPr>
          <w:rFonts w:ascii="方正仿宋_GBK" w:eastAsia="方正仿宋_GBK" w:hAnsi="方正仿宋_GBK" w:cs="方正仿宋_GBK" w:hint="eastAsia"/>
          <w:kern w:val="0"/>
          <w:sz w:val="32"/>
          <w:szCs w:val="32"/>
        </w:rPr>
        <w:t>1963.13</w:t>
      </w:r>
      <w:r>
        <w:rPr>
          <w:rFonts w:ascii="方正仿宋_GBK" w:eastAsia="方正仿宋_GBK" w:hAnsi="方正仿宋_GBK" w:cs="方正仿宋_GBK" w:hint="eastAsia"/>
          <w:bCs/>
          <w:sz w:val="32"/>
          <w:szCs w:val="32"/>
        </w:rPr>
        <w:t>万元，减少主要原因为</w:t>
      </w:r>
      <w:r>
        <w:rPr>
          <w:rFonts w:ascii="方正仿宋_GBK" w:eastAsia="方正仿宋_GBK" w:hAnsi="方正仿宋_GBK" w:cs="方正仿宋_GBK" w:hint="eastAsia"/>
          <w:sz w:val="32"/>
          <w:szCs w:val="32"/>
        </w:rPr>
        <w:t>南京科技中心综合楼消险维修改造工程，根据审计中心备案书备案金额预留项目质量保证金。</w:t>
      </w:r>
    </w:p>
    <w:p w:rsidR="00EB0E0C" w:rsidRDefault="002F5CDE">
      <w:pPr>
        <w:spacing w:line="5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（三）部门（单位）绩效目标</w:t>
      </w:r>
    </w:p>
    <w:p w:rsidR="00EB0E0C" w:rsidRDefault="002F5CDE">
      <w:pPr>
        <w:widowControl/>
        <w:adjustRightInd w:val="0"/>
        <w:snapToGrid w:val="0"/>
        <w:spacing w:line="560" w:lineRule="exact"/>
        <w:ind w:firstLineChars="200" w:firstLine="643"/>
        <w:rPr>
          <w:rFonts w:ascii="方正仿宋_GBK" w:eastAsia="方正仿宋_GBK" w:hAnsi="方正仿宋_GBK" w:cs="方正仿宋_GBK"/>
          <w:bCs/>
          <w:color w:val="000000" w:themeColor="text1"/>
          <w:kern w:val="0"/>
          <w:sz w:val="32"/>
          <w:szCs w:val="32"/>
        </w:rPr>
      </w:pPr>
      <w:r>
        <w:rPr>
          <w:rFonts w:ascii="方正仿宋_GBK" w:eastAsia="方正仿宋_GBK" w:hAnsi="方正仿宋_GBK" w:cs="方正仿宋_GBK" w:hint="eastAsia"/>
          <w:b/>
          <w:color w:val="000000" w:themeColor="text1"/>
          <w:sz w:val="32"/>
          <w:szCs w:val="32"/>
        </w:rPr>
        <w:t>1.</w:t>
      </w:r>
      <w:r>
        <w:rPr>
          <w:rFonts w:ascii="方正仿宋_GBK" w:eastAsia="方正仿宋_GBK" w:hAnsi="方正仿宋_GBK" w:cs="方正仿宋_GBK"/>
          <w:b/>
          <w:color w:val="000000" w:themeColor="text1"/>
          <w:sz w:val="32"/>
          <w:szCs w:val="32"/>
        </w:rPr>
        <w:t xml:space="preserve"> </w:t>
      </w:r>
      <w:r>
        <w:rPr>
          <w:rFonts w:ascii="方正仿宋_GBK" w:eastAsia="方正仿宋_GBK" w:hAnsi="方正仿宋_GBK" w:cs="方正仿宋_GBK" w:hint="eastAsia"/>
          <w:b/>
          <w:color w:val="000000" w:themeColor="text1"/>
          <w:sz w:val="32"/>
          <w:szCs w:val="32"/>
        </w:rPr>
        <w:t>部门</w:t>
      </w:r>
      <w:r>
        <w:rPr>
          <w:rFonts w:ascii="方正仿宋_GBK" w:eastAsia="方正仿宋_GBK" w:hAnsi="方正仿宋_GBK" w:cs="方正仿宋_GBK" w:hint="eastAsia"/>
          <w:b/>
          <w:color w:val="000000" w:themeColor="text1"/>
          <w:kern w:val="0"/>
          <w:sz w:val="32"/>
          <w:szCs w:val="32"/>
        </w:rPr>
        <w:t>中长期目标。</w:t>
      </w:r>
      <w:r>
        <w:rPr>
          <w:rFonts w:ascii="方正仿宋_GBK" w:eastAsia="方正仿宋_GBK" w:hAnsi="方正仿宋_GBK" w:cs="方正仿宋_GBK" w:hint="eastAsia"/>
          <w:bCs/>
          <w:color w:val="000000" w:themeColor="text1"/>
          <w:kern w:val="0"/>
          <w:sz w:val="32"/>
          <w:szCs w:val="32"/>
        </w:rPr>
        <w:t>紧紧围绕引领</w:t>
      </w:r>
      <w:proofErr w:type="gramStart"/>
      <w:r>
        <w:rPr>
          <w:rFonts w:ascii="方正仿宋_GBK" w:eastAsia="方正仿宋_GBK" w:hAnsi="方正仿宋_GBK" w:cs="方正仿宋_GBK" w:hint="eastAsia"/>
          <w:bCs/>
          <w:color w:val="000000" w:themeColor="text1"/>
          <w:kern w:val="0"/>
          <w:sz w:val="32"/>
          <w:szCs w:val="32"/>
        </w:rPr>
        <w:t>性国家</w:t>
      </w:r>
      <w:proofErr w:type="gramEnd"/>
      <w:r>
        <w:rPr>
          <w:rFonts w:ascii="方正仿宋_GBK" w:eastAsia="方正仿宋_GBK" w:hAnsi="方正仿宋_GBK" w:cs="方正仿宋_GBK" w:hint="eastAsia"/>
          <w:bCs/>
          <w:color w:val="000000" w:themeColor="text1"/>
          <w:kern w:val="0"/>
          <w:sz w:val="32"/>
          <w:szCs w:val="32"/>
        </w:rPr>
        <w:t>创新型城市建设，以科技服务为主线，以科研机构、</w:t>
      </w:r>
      <w:proofErr w:type="gramStart"/>
      <w:r>
        <w:rPr>
          <w:rFonts w:ascii="方正仿宋_GBK" w:eastAsia="方正仿宋_GBK" w:hAnsi="方正仿宋_GBK" w:cs="方正仿宋_GBK" w:hint="eastAsia"/>
          <w:bCs/>
          <w:color w:val="000000" w:themeColor="text1"/>
          <w:kern w:val="0"/>
          <w:sz w:val="32"/>
          <w:szCs w:val="32"/>
        </w:rPr>
        <w:t>科创企业</w:t>
      </w:r>
      <w:proofErr w:type="gramEnd"/>
      <w:r>
        <w:rPr>
          <w:rFonts w:ascii="方正仿宋_GBK" w:eastAsia="方正仿宋_GBK" w:hAnsi="方正仿宋_GBK" w:cs="方正仿宋_GBK" w:hint="eastAsia"/>
          <w:bCs/>
          <w:color w:val="000000" w:themeColor="text1"/>
          <w:kern w:val="0"/>
          <w:sz w:val="32"/>
          <w:szCs w:val="32"/>
        </w:rPr>
        <w:t>、园区载体为重点服务对象，以对</w:t>
      </w:r>
      <w:proofErr w:type="gramStart"/>
      <w:r>
        <w:rPr>
          <w:rFonts w:ascii="方正仿宋_GBK" w:eastAsia="方正仿宋_GBK" w:hAnsi="方正仿宋_GBK" w:cs="方正仿宋_GBK" w:hint="eastAsia"/>
          <w:bCs/>
          <w:color w:val="000000" w:themeColor="text1"/>
          <w:kern w:val="0"/>
          <w:sz w:val="32"/>
          <w:szCs w:val="32"/>
        </w:rPr>
        <w:t>标找差</w:t>
      </w:r>
      <w:proofErr w:type="gramEnd"/>
      <w:r>
        <w:rPr>
          <w:rFonts w:ascii="方正仿宋_GBK" w:eastAsia="方正仿宋_GBK" w:hAnsi="方正仿宋_GBK" w:cs="方正仿宋_GBK" w:hint="eastAsia"/>
          <w:bCs/>
          <w:color w:val="000000" w:themeColor="text1"/>
          <w:kern w:val="0"/>
          <w:sz w:val="32"/>
          <w:szCs w:val="32"/>
        </w:rPr>
        <w:t>为基本方法，以体制机制创新为有效手段，以“做精、做专、做成体系化”为衡量标准，聚焦品牌业务建设、科技服务能力提升、人才团队建设三大目标，积极推进技术市场管理服务中心、科技计划项目管理中心、科技金融服务中心建设着力打造专业化网络化的创新服务体系。</w:t>
      </w:r>
    </w:p>
    <w:p w:rsidR="00EB0E0C" w:rsidRDefault="002F5CDE">
      <w:pPr>
        <w:adjustRightInd w:val="0"/>
        <w:snapToGrid w:val="0"/>
        <w:spacing w:line="560" w:lineRule="exact"/>
        <w:ind w:firstLineChars="200" w:firstLine="643"/>
        <w:rPr>
          <w:rFonts w:ascii="方正仿宋_GBK" w:eastAsia="方正仿宋_GBK" w:hAnsi="方正仿宋_GBK" w:cs="方正仿宋_GBK"/>
          <w:b/>
          <w:color w:val="000000" w:themeColor="text1"/>
          <w:kern w:val="0"/>
          <w:sz w:val="32"/>
          <w:szCs w:val="32"/>
        </w:rPr>
      </w:pPr>
      <w:r>
        <w:rPr>
          <w:rFonts w:ascii="方正仿宋_GBK" w:eastAsia="方正仿宋_GBK" w:hAnsi="方正仿宋_GBK" w:cs="方正仿宋_GBK"/>
          <w:b/>
          <w:color w:val="000000" w:themeColor="text1"/>
          <w:kern w:val="0"/>
          <w:sz w:val="32"/>
          <w:szCs w:val="32"/>
        </w:rPr>
        <w:t>2</w:t>
      </w:r>
      <w:r>
        <w:rPr>
          <w:rFonts w:ascii="方正仿宋_GBK" w:eastAsia="方正仿宋_GBK" w:hAnsi="方正仿宋_GBK" w:cs="方正仿宋_GBK" w:hint="eastAsia"/>
          <w:b/>
          <w:color w:val="000000" w:themeColor="text1"/>
          <w:kern w:val="0"/>
          <w:sz w:val="32"/>
          <w:szCs w:val="32"/>
        </w:rPr>
        <w:t>.</w:t>
      </w:r>
      <w:r>
        <w:rPr>
          <w:rFonts w:ascii="方正仿宋_GBK" w:eastAsia="方正仿宋_GBK" w:hAnsi="方正仿宋_GBK" w:cs="方正仿宋_GBK"/>
          <w:b/>
          <w:color w:val="000000" w:themeColor="text1"/>
          <w:kern w:val="0"/>
          <w:sz w:val="32"/>
          <w:szCs w:val="32"/>
        </w:rPr>
        <w:t xml:space="preserve"> </w:t>
      </w:r>
      <w:r>
        <w:rPr>
          <w:rFonts w:ascii="方正仿宋_GBK" w:eastAsia="方正仿宋_GBK" w:hAnsi="方正仿宋_GBK" w:cs="方正仿宋_GBK" w:hint="eastAsia"/>
          <w:b/>
          <w:color w:val="000000" w:themeColor="text1"/>
          <w:kern w:val="0"/>
          <w:sz w:val="32"/>
          <w:szCs w:val="32"/>
        </w:rPr>
        <w:t>2022年度目标。</w:t>
      </w:r>
      <w:r>
        <w:rPr>
          <w:rFonts w:ascii="方正仿宋_GBK" w:eastAsia="方正仿宋_GBK" w:hAnsi="方正仿宋_GBK" w:cs="方正仿宋_GBK" w:hint="eastAsia"/>
          <w:bCs/>
          <w:color w:val="000000" w:themeColor="text1"/>
          <w:kern w:val="0"/>
          <w:sz w:val="32"/>
          <w:szCs w:val="32"/>
        </w:rPr>
        <w:t>一是以促进科技成果转移转化为抓手，加强新型研发机构运营统计监测和数据分析，研究新型研发机构分类指导，强化新型研发机构规范管理，继续搭建南京技术转移体系；二是大力发展技术交易市场，开展技术合同认定登记机构业务培训，根据市科技局下达的目标，完成全市技术合同统计指标，做好技术合同减免税的受理及认定，全面加强检查监督，规范管理秩序，有重点、有针对性地开展政策宣传，强化政策落实；三是继续做好高新技术企业培育及申报工作，针对</w:t>
      </w:r>
      <w:proofErr w:type="gramStart"/>
      <w:r>
        <w:rPr>
          <w:rFonts w:ascii="方正仿宋_GBK" w:eastAsia="方正仿宋_GBK" w:hAnsi="方正仿宋_GBK" w:cs="方正仿宋_GBK" w:hint="eastAsia"/>
          <w:bCs/>
          <w:color w:val="000000" w:themeColor="text1"/>
          <w:kern w:val="0"/>
          <w:sz w:val="32"/>
          <w:szCs w:val="32"/>
        </w:rPr>
        <w:t>对</w:t>
      </w:r>
      <w:proofErr w:type="gramEnd"/>
      <w:r>
        <w:rPr>
          <w:rFonts w:ascii="方正仿宋_GBK" w:eastAsia="方正仿宋_GBK" w:hAnsi="方正仿宋_GBK" w:cs="方正仿宋_GBK" w:hint="eastAsia"/>
          <w:bCs/>
          <w:color w:val="000000" w:themeColor="text1"/>
          <w:kern w:val="0"/>
          <w:sz w:val="32"/>
          <w:szCs w:val="32"/>
        </w:rPr>
        <w:t>高企申报的不同阶段，提供精准培育服务，对全市各</w:t>
      </w:r>
      <w:proofErr w:type="gramStart"/>
      <w:r>
        <w:rPr>
          <w:rFonts w:ascii="方正仿宋_GBK" w:eastAsia="方正仿宋_GBK" w:hAnsi="方正仿宋_GBK" w:cs="方正仿宋_GBK" w:hint="eastAsia"/>
          <w:bCs/>
          <w:color w:val="000000" w:themeColor="text1"/>
          <w:kern w:val="0"/>
          <w:sz w:val="32"/>
          <w:szCs w:val="32"/>
        </w:rPr>
        <w:t>类创新</w:t>
      </w:r>
      <w:proofErr w:type="gramEnd"/>
      <w:r>
        <w:rPr>
          <w:rFonts w:ascii="方正仿宋_GBK" w:eastAsia="方正仿宋_GBK" w:hAnsi="方正仿宋_GBK" w:cs="方正仿宋_GBK" w:hint="eastAsia"/>
          <w:bCs/>
          <w:color w:val="000000" w:themeColor="text1"/>
          <w:kern w:val="0"/>
          <w:sz w:val="32"/>
          <w:szCs w:val="32"/>
        </w:rPr>
        <w:t>创业载体提供评价指导；四是不断构筑科技金融综合服务体系，为全市高新技术企业、科技型中小企业、新型研发机构等创新主体申请科技贷款提供政策咨询、债权服务等服务，省、市、区联动，健全区域科技贷款服务体系，集聚和引进相关创投机构，拓展股权融资服务；</w:t>
      </w:r>
      <w:r>
        <w:rPr>
          <w:rFonts w:ascii="方正仿宋_GBK" w:eastAsia="方正仿宋_GBK" w:hAnsi="方正仿宋_GBK" w:cs="方正仿宋_GBK" w:hint="eastAsia"/>
          <w:bCs/>
          <w:color w:val="000000" w:themeColor="text1"/>
          <w:kern w:val="0"/>
          <w:sz w:val="32"/>
          <w:szCs w:val="32"/>
        </w:rPr>
        <w:lastRenderedPageBreak/>
        <w:t>五是深入挖掘科技资源，精准服务企业，打开产学研工作新局面，开展线上线下高效对接，精准匹配创新需求，搭建企业与高校院所合作交流的平台；六是做好科技政务大厅窗口服务，加强科技政策宣传，提升行政服务效能，做到让企业“少跑路，办成事”；七是完成科技中心综合楼消</w:t>
      </w:r>
      <w:proofErr w:type="gramStart"/>
      <w:r>
        <w:rPr>
          <w:rFonts w:ascii="方正仿宋_GBK" w:eastAsia="方正仿宋_GBK" w:hAnsi="方正仿宋_GBK" w:cs="方正仿宋_GBK" w:hint="eastAsia"/>
          <w:bCs/>
          <w:color w:val="000000" w:themeColor="text1"/>
          <w:kern w:val="0"/>
          <w:sz w:val="32"/>
          <w:szCs w:val="32"/>
        </w:rPr>
        <w:t>险改造</w:t>
      </w:r>
      <w:proofErr w:type="gramEnd"/>
      <w:r>
        <w:rPr>
          <w:rFonts w:ascii="方正仿宋_GBK" w:eastAsia="方正仿宋_GBK" w:hAnsi="方正仿宋_GBK" w:cs="方正仿宋_GBK" w:hint="eastAsia"/>
          <w:bCs/>
          <w:color w:val="000000" w:themeColor="text1"/>
          <w:kern w:val="0"/>
          <w:sz w:val="32"/>
          <w:szCs w:val="32"/>
        </w:rPr>
        <w:t>工程。</w:t>
      </w:r>
    </w:p>
    <w:p w:rsidR="00EB0E0C" w:rsidRDefault="002F5CDE">
      <w:pPr>
        <w:widowControl/>
        <w:adjustRightInd w:val="0"/>
        <w:snapToGrid w:val="0"/>
        <w:spacing w:line="60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二、评价结论</w:t>
      </w:r>
    </w:p>
    <w:p w:rsidR="00EB0E0C" w:rsidRDefault="002F5CDE">
      <w:pPr>
        <w:widowControl/>
        <w:adjustRightInd w:val="0"/>
        <w:snapToGrid w:val="0"/>
        <w:spacing w:line="600" w:lineRule="exact"/>
        <w:ind w:firstLineChars="200" w:firstLine="640"/>
        <w:rPr>
          <w:rFonts w:ascii="方正楷体_GBK" w:eastAsia="方正楷体_GBK" w:hAnsi="方正楷体_GBK" w:cs="方正楷体_GBK"/>
          <w:color w:val="000000" w:themeColor="text1"/>
          <w:kern w:val="0"/>
          <w:sz w:val="32"/>
          <w:szCs w:val="32"/>
        </w:rPr>
      </w:pPr>
      <w:r>
        <w:rPr>
          <w:rFonts w:ascii="方正楷体_GBK" w:eastAsia="方正楷体_GBK" w:hAnsi="方正楷体_GBK" w:cs="方正楷体_GBK" w:hint="eastAsia"/>
          <w:color w:val="000000" w:themeColor="text1"/>
          <w:kern w:val="0"/>
          <w:sz w:val="32"/>
          <w:szCs w:val="32"/>
        </w:rPr>
        <w:t>（一）评价对象和范围</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sz w:val="32"/>
          <w:szCs w:val="32"/>
        </w:rPr>
        <w:t>转化中心</w:t>
      </w:r>
      <w:r>
        <w:rPr>
          <w:rFonts w:ascii="方正仿宋_GBK" w:eastAsia="方正仿宋_GBK" w:hAnsi="方正仿宋_GBK" w:cs="方正仿宋_GBK" w:hint="eastAsia"/>
          <w:color w:val="000000" w:themeColor="text1"/>
          <w:kern w:val="0"/>
          <w:sz w:val="32"/>
          <w:szCs w:val="32"/>
        </w:rPr>
        <w:t>预算执行情况以及政策、项目实施效果</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kern w:val="0"/>
          <w:sz w:val="32"/>
          <w:szCs w:val="32"/>
        </w:rPr>
        <w:t>范围：以预算资金管理为主线，统筹考虑资产和业务活动，从运行成本、管理效率、履职效能、社会效应、可持续发展能力和服务对象满意度等方面，衡量部门和单位整体及核心业务实施效果。</w:t>
      </w:r>
    </w:p>
    <w:p w:rsidR="00EB0E0C" w:rsidRDefault="002F5CDE">
      <w:pPr>
        <w:widowControl/>
        <w:adjustRightInd w:val="0"/>
        <w:snapToGrid w:val="0"/>
        <w:spacing w:line="600" w:lineRule="exact"/>
        <w:ind w:firstLineChars="200" w:firstLine="640"/>
        <w:rPr>
          <w:rFonts w:ascii="方正楷体_GBK" w:eastAsia="方正楷体_GBK" w:hAnsi="方正楷体_GBK" w:cs="方正楷体_GBK"/>
          <w:color w:val="000000" w:themeColor="text1"/>
          <w:kern w:val="0"/>
          <w:sz w:val="32"/>
          <w:szCs w:val="32"/>
        </w:rPr>
      </w:pPr>
      <w:r>
        <w:rPr>
          <w:rFonts w:ascii="方正楷体_GBK" w:eastAsia="方正楷体_GBK" w:hAnsi="方正楷体_GBK" w:cs="方正楷体_GBK" w:hint="eastAsia"/>
          <w:color w:val="000000" w:themeColor="text1"/>
          <w:kern w:val="0"/>
          <w:sz w:val="32"/>
          <w:szCs w:val="32"/>
        </w:rPr>
        <w:t>（二）评价结论及评分结果</w:t>
      </w:r>
    </w:p>
    <w:p w:rsidR="00EB0E0C" w:rsidRDefault="002F5CDE">
      <w:pPr>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2022年，转化中心在市科技局党组领导下，加强党建，围绕</w:t>
      </w:r>
      <w:r>
        <w:rPr>
          <w:rFonts w:ascii="方正仿宋_GBK" w:eastAsia="方正仿宋_GBK" w:hAnsi="方正仿宋_GBK" w:cs="方正仿宋_GBK" w:hint="eastAsia"/>
          <w:bCs/>
          <w:color w:val="000000" w:themeColor="text1"/>
          <w:kern w:val="0"/>
          <w:sz w:val="32"/>
          <w:szCs w:val="32"/>
        </w:rPr>
        <w:t>引领</w:t>
      </w:r>
      <w:proofErr w:type="gramStart"/>
      <w:r>
        <w:rPr>
          <w:rFonts w:ascii="方正仿宋_GBK" w:eastAsia="方正仿宋_GBK" w:hAnsi="方正仿宋_GBK" w:cs="方正仿宋_GBK" w:hint="eastAsia"/>
          <w:bCs/>
          <w:color w:val="000000" w:themeColor="text1"/>
          <w:kern w:val="0"/>
          <w:sz w:val="32"/>
          <w:szCs w:val="32"/>
        </w:rPr>
        <w:t>性国家</w:t>
      </w:r>
      <w:proofErr w:type="gramEnd"/>
      <w:r>
        <w:rPr>
          <w:rFonts w:ascii="方正仿宋_GBK" w:eastAsia="方正仿宋_GBK" w:hAnsi="方正仿宋_GBK" w:cs="方正仿宋_GBK" w:hint="eastAsia"/>
          <w:bCs/>
          <w:color w:val="000000" w:themeColor="text1"/>
          <w:kern w:val="0"/>
          <w:sz w:val="32"/>
          <w:szCs w:val="32"/>
        </w:rPr>
        <w:t>创新型城市建设</w:t>
      </w:r>
      <w:r>
        <w:rPr>
          <w:rFonts w:ascii="方正仿宋_GBK" w:eastAsia="方正仿宋_GBK" w:hAnsi="方正仿宋_GBK" w:cs="方正仿宋_GBK" w:hint="eastAsia"/>
          <w:sz w:val="32"/>
          <w:szCs w:val="32"/>
        </w:rPr>
        <w:t>，在高新技术企业培育、新型研发机构发展、技术市场体系建设、科技政务服务等方面承担了大量工作。全年</w:t>
      </w:r>
      <w:r>
        <w:rPr>
          <w:rFonts w:ascii="方正仿宋_GBK" w:eastAsia="方正仿宋_GBK" w:hAnsi="方正仿宋_GBK" w:cs="方正仿宋_GBK" w:hint="eastAsia"/>
          <w:kern w:val="0"/>
          <w:sz w:val="32"/>
          <w:szCs w:val="32"/>
        </w:rPr>
        <w:t>运行成本合理，管理效率、履职效能较高，社会效应和服务对象满意度较为显著，具备了一定的可持续发展能力。</w:t>
      </w:r>
    </w:p>
    <w:p w:rsidR="00EB0E0C" w:rsidRDefault="002F5CDE">
      <w:pPr>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对照评价指标体系，自评得分92.9分，其中部门决策得分13.5分（15，权重分，下同），部门管理得分18.4分（20），部门履职得分33.6分（35），履职绩效得分23.4分（25），可持续发展能力得分4分（5），无加减分项。</w:t>
      </w:r>
    </w:p>
    <w:p w:rsidR="00EB0E0C" w:rsidRDefault="002F5CDE">
      <w:pPr>
        <w:adjustRightInd w:val="0"/>
        <w:snapToGrid w:val="0"/>
        <w:spacing w:line="60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三、部门履职成效</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1.以党建工作为引领，推进党建与业务深度融合。一是</w:t>
      </w:r>
      <w:r>
        <w:rPr>
          <w:rFonts w:ascii="方正仿宋_GBK" w:eastAsia="方正仿宋_GBK" w:hAnsi="方正仿宋_GBK" w:cs="方正仿宋_GBK"/>
          <w:kern w:val="0"/>
          <w:sz w:val="32"/>
          <w:szCs w:val="32"/>
        </w:rPr>
        <w:t>坚持思</w:t>
      </w:r>
      <w:r>
        <w:rPr>
          <w:rFonts w:ascii="方正仿宋_GBK" w:eastAsia="方正仿宋_GBK" w:hAnsi="方正仿宋_GBK" w:cs="方正仿宋_GBK"/>
          <w:kern w:val="0"/>
          <w:sz w:val="32"/>
          <w:szCs w:val="32"/>
        </w:rPr>
        <w:lastRenderedPageBreak/>
        <w:t>想引领</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推动全体党员干部以习近平新时代中国特色社会主义思想为指引，全面贯彻党的十九大和十九届历次全会精神，迅速掀起学习宣传贯彻党的二十大精神热潮，深刻</w:t>
      </w:r>
      <w:proofErr w:type="gramStart"/>
      <w:r>
        <w:rPr>
          <w:rFonts w:ascii="方正仿宋_GBK" w:eastAsia="方正仿宋_GBK" w:hAnsi="方正仿宋_GBK" w:cs="方正仿宋_GBK"/>
          <w:kern w:val="0"/>
          <w:sz w:val="32"/>
          <w:szCs w:val="32"/>
        </w:rPr>
        <w:t>领悟党</w:t>
      </w:r>
      <w:proofErr w:type="gramEnd"/>
      <w:r>
        <w:rPr>
          <w:rFonts w:ascii="方正仿宋_GBK" w:eastAsia="方正仿宋_GBK" w:hAnsi="方正仿宋_GBK" w:cs="方正仿宋_GBK"/>
          <w:kern w:val="0"/>
          <w:sz w:val="32"/>
          <w:szCs w:val="32"/>
        </w:rPr>
        <w:t>的二十大报告精髓要义，持续巩固党史学习教育成果。做到党建工作与中心任务同步、与管理创新同步、与群众需求同步。</w:t>
      </w:r>
      <w:r>
        <w:rPr>
          <w:rFonts w:ascii="方正楷体_GBK" w:eastAsia="方正楷体_GBK" w:hAnsi="方正楷体_GBK" w:cs="方正楷体_GBK" w:hint="eastAsia"/>
          <w:color w:val="000000" w:themeColor="text1"/>
          <w:sz w:val="32"/>
          <w:szCs w:val="32"/>
        </w:rPr>
        <w:t>二是</w:t>
      </w:r>
      <w:r>
        <w:rPr>
          <w:rFonts w:ascii="方正仿宋_GBK" w:eastAsia="方正仿宋_GBK" w:hAnsi="方正仿宋_GBK" w:cs="方正仿宋_GBK"/>
          <w:kern w:val="0"/>
          <w:sz w:val="32"/>
          <w:szCs w:val="32"/>
        </w:rPr>
        <w:t>严格落实“三会一课”</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各支部认真落实“三会一课”制度，建立每月一次的“党员学习日”，扎实开展党总支理论学习计划。</w:t>
      </w:r>
      <w:r>
        <w:rPr>
          <w:rFonts w:ascii="方正楷体_GBK" w:eastAsia="方正楷体_GBK" w:hAnsi="方正楷体_GBK" w:cs="方正楷体_GBK" w:hint="eastAsia"/>
          <w:color w:val="000000" w:themeColor="text1"/>
          <w:sz w:val="32"/>
          <w:szCs w:val="32"/>
        </w:rPr>
        <w:t>三是</w:t>
      </w:r>
      <w:r>
        <w:rPr>
          <w:rFonts w:ascii="方正仿宋_GBK" w:eastAsia="方正仿宋_GBK" w:hAnsi="方正仿宋_GBK" w:cs="方正仿宋_GBK"/>
          <w:kern w:val="0"/>
          <w:sz w:val="32"/>
          <w:szCs w:val="32"/>
        </w:rPr>
        <w:t>精准务实服务</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通过开展“建设模范机关、争当六个先锋”主题实践活动，以“我为群众办实事”科技政策宣讲活动作为切入点，建设服务型党组织，做到为民办实事</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主动梳理国家、省市科技政策，形成了《走深走实“我为群众办实事”实践活动系列——科技服务事项手册》，为常态化走进区（园区）开展清单化服务、推动党建工作与科技管理服务工作相结合打好基础</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通过科技政策宣讲送服务活动，增强了党员干部为基层服务的使命感和责任感，在服务中不断提升政治修养、纪律修养、作风修养、道德修养。全年组织60场次，覆盖企业4795人次。</w:t>
      </w:r>
      <w:r>
        <w:rPr>
          <w:rFonts w:ascii="方正楷体_GBK" w:eastAsia="方正楷体_GBK" w:hAnsi="方正楷体_GBK" w:cs="方正楷体_GBK" w:hint="eastAsia"/>
          <w:color w:val="000000" w:themeColor="text1"/>
          <w:sz w:val="32"/>
          <w:szCs w:val="32"/>
        </w:rPr>
        <w:t>四是</w:t>
      </w:r>
      <w:r>
        <w:rPr>
          <w:rFonts w:ascii="方正仿宋_GBK" w:eastAsia="方正仿宋_GBK" w:hAnsi="方正仿宋_GBK" w:cs="方正仿宋_GBK"/>
          <w:kern w:val="0"/>
          <w:sz w:val="32"/>
          <w:szCs w:val="32"/>
        </w:rPr>
        <w:t>服务企业“面对面”</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转化中心以与梅钢公司党建共建为契机，推动科技创新与产业发展深度对接。了解梅钢发展现状和需求，开展技术合同认定登记、奖酬金提取以及</w:t>
      </w:r>
      <w:proofErr w:type="gramStart"/>
      <w:r>
        <w:rPr>
          <w:rFonts w:ascii="方正仿宋_GBK" w:eastAsia="方正仿宋_GBK" w:hAnsi="方正仿宋_GBK" w:cs="方正仿宋_GBK"/>
          <w:kern w:val="0"/>
          <w:sz w:val="32"/>
          <w:szCs w:val="32"/>
        </w:rPr>
        <w:t>技术奖补等</w:t>
      </w:r>
      <w:proofErr w:type="gramEnd"/>
      <w:r>
        <w:rPr>
          <w:rFonts w:ascii="方正仿宋_GBK" w:eastAsia="方正仿宋_GBK" w:hAnsi="方正仿宋_GBK" w:cs="方正仿宋_GBK"/>
          <w:kern w:val="0"/>
          <w:sz w:val="32"/>
          <w:szCs w:val="32"/>
        </w:rPr>
        <w:t>方面的科技政策辅导培训；引导梅钢梳理技术需求，形成围绕先进材料、绿色低碳等6大领域技术需求清单</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承办“在宁部分高校进梅钢公司产学研面对面”活动，5所在</w:t>
      </w:r>
      <w:proofErr w:type="gramStart"/>
      <w:r>
        <w:rPr>
          <w:rFonts w:ascii="方正仿宋_GBK" w:eastAsia="方正仿宋_GBK" w:hAnsi="方正仿宋_GBK" w:cs="方正仿宋_GBK"/>
          <w:kern w:val="0"/>
          <w:sz w:val="32"/>
          <w:szCs w:val="32"/>
        </w:rPr>
        <w:t>宁重点</w:t>
      </w:r>
      <w:proofErr w:type="gramEnd"/>
      <w:r>
        <w:rPr>
          <w:rFonts w:ascii="方正仿宋_GBK" w:eastAsia="方正仿宋_GBK" w:hAnsi="方正仿宋_GBK" w:cs="方正仿宋_GBK"/>
          <w:kern w:val="0"/>
          <w:sz w:val="32"/>
          <w:szCs w:val="32"/>
        </w:rPr>
        <w:t>高校22名教授走进梅钢，形成75个合作意向，梅钢与高校签署了产学研合作框架协议，建立起产学研长期合作关系。</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2.</w:t>
      </w:r>
      <w:r>
        <w:rPr>
          <w:rFonts w:ascii="方正楷体_GBK" w:eastAsia="方正楷体_GBK" w:hAnsi="方正楷体_GBK" w:cs="方正楷体_GBK"/>
          <w:color w:val="000000" w:themeColor="text1"/>
          <w:sz w:val="32"/>
          <w:szCs w:val="32"/>
        </w:rPr>
        <w:t>树立科技政务窗口服务品牌</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一是</w:t>
      </w:r>
      <w:r>
        <w:rPr>
          <w:rFonts w:ascii="方正仿宋_GBK" w:eastAsia="方正仿宋_GBK" w:hAnsi="方正仿宋_GBK" w:cs="方正仿宋_GBK"/>
          <w:kern w:val="0"/>
          <w:sz w:val="32"/>
          <w:szCs w:val="32"/>
        </w:rPr>
        <w:t>圆满完成各类科技项目受理。中心负责的市政务服务中心科技局服务窗口，全年共计受理</w:t>
      </w:r>
      <w:r>
        <w:rPr>
          <w:rFonts w:ascii="方正仿宋_GBK" w:eastAsia="方正仿宋_GBK" w:hAnsi="方正仿宋_GBK" w:cs="方正仿宋_GBK"/>
          <w:kern w:val="0"/>
          <w:sz w:val="32"/>
          <w:szCs w:val="32"/>
        </w:rPr>
        <w:lastRenderedPageBreak/>
        <w:t>省、市级科技项目74个类别共计8351项（其中窗口受理4540项，网上受理3811项）；完成各级计划中期检查及科技奖励统计、调查7个别类375家次；协助业务处室参与组织各类项目评审会23场（评审项目836项，邀请专家32人次）。窗口服务综合满意率达100%，获得</w:t>
      </w:r>
      <w:r>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kern w:val="0"/>
          <w:sz w:val="32"/>
          <w:szCs w:val="32"/>
        </w:rPr>
        <w:t>度窗口“先进单位”称号，A234窗口获得</w:t>
      </w:r>
      <w:r>
        <w:rPr>
          <w:rFonts w:ascii="方正仿宋_GBK" w:eastAsia="方正仿宋_GBK" w:hAnsi="方正仿宋_GBK" w:cs="方正仿宋_GBK" w:hint="eastAsia"/>
          <w:kern w:val="0"/>
          <w:sz w:val="32"/>
          <w:szCs w:val="32"/>
        </w:rPr>
        <w:t>年度</w:t>
      </w:r>
      <w:r>
        <w:rPr>
          <w:rFonts w:ascii="方正仿宋_GBK" w:eastAsia="方正仿宋_GBK" w:hAnsi="方正仿宋_GBK" w:cs="方正仿宋_GBK"/>
          <w:kern w:val="0"/>
          <w:sz w:val="32"/>
          <w:szCs w:val="32"/>
        </w:rPr>
        <w:t>“</w:t>
      </w:r>
      <w:r>
        <w:rPr>
          <w:rFonts w:ascii="方正仿宋_GBK" w:eastAsia="方正仿宋_GBK" w:hAnsi="方正仿宋_GBK" w:cs="方正仿宋_GBK" w:hint="eastAsia"/>
          <w:kern w:val="0"/>
          <w:sz w:val="32"/>
          <w:szCs w:val="32"/>
        </w:rPr>
        <w:t>三星</w:t>
      </w:r>
      <w:r>
        <w:rPr>
          <w:rFonts w:ascii="方正仿宋_GBK" w:eastAsia="方正仿宋_GBK" w:hAnsi="方正仿宋_GBK" w:cs="方正仿宋_GBK"/>
          <w:kern w:val="0"/>
          <w:sz w:val="32"/>
          <w:szCs w:val="32"/>
        </w:rPr>
        <w:t>红旗窗口”称号。</w:t>
      </w:r>
      <w:r>
        <w:rPr>
          <w:rFonts w:ascii="方正楷体_GBK" w:eastAsia="方正楷体_GBK" w:hAnsi="方正楷体_GBK" w:cs="方正楷体_GBK" w:hint="eastAsia"/>
          <w:color w:val="000000" w:themeColor="text1"/>
          <w:sz w:val="32"/>
          <w:szCs w:val="32"/>
        </w:rPr>
        <w:t>二</w:t>
      </w:r>
      <w:r>
        <w:rPr>
          <w:rFonts w:ascii="方正楷体_GBK" w:eastAsia="方正楷体_GBK" w:hAnsi="方正楷体_GBK" w:cs="方正楷体_GBK"/>
          <w:color w:val="000000" w:themeColor="text1"/>
          <w:sz w:val="32"/>
          <w:szCs w:val="32"/>
        </w:rPr>
        <w:t>是</w:t>
      </w:r>
      <w:r>
        <w:rPr>
          <w:rFonts w:ascii="方正仿宋_GBK" w:eastAsia="方正仿宋_GBK" w:hAnsi="方正仿宋_GBK" w:cs="方正仿宋_GBK"/>
          <w:kern w:val="0"/>
          <w:sz w:val="32"/>
          <w:szCs w:val="32"/>
        </w:rPr>
        <w:t>积极推进“一网通办”。协助</w:t>
      </w:r>
      <w:proofErr w:type="gramStart"/>
      <w:r>
        <w:rPr>
          <w:rFonts w:ascii="方正仿宋_GBK" w:eastAsia="方正仿宋_GBK" w:hAnsi="方正仿宋_GBK" w:cs="方正仿宋_GBK"/>
          <w:kern w:val="0"/>
          <w:sz w:val="32"/>
          <w:szCs w:val="32"/>
        </w:rPr>
        <w:t>局资配</w:t>
      </w:r>
      <w:proofErr w:type="gramEnd"/>
      <w:r>
        <w:rPr>
          <w:rFonts w:ascii="方正仿宋_GBK" w:eastAsia="方正仿宋_GBK" w:hAnsi="方正仿宋_GBK" w:cs="方正仿宋_GBK"/>
          <w:kern w:val="0"/>
          <w:sz w:val="32"/>
          <w:szCs w:val="32"/>
        </w:rPr>
        <w:t>处积极推进“南京市科技计划管理信息系统”（以下简称“科技计划系统”）与“宁企通”平台对接。梳理拟上</w:t>
      </w:r>
      <w:proofErr w:type="gramStart"/>
      <w:r>
        <w:rPr>
          <w:rFonts w:ascii="方正仿宋_GBK" w:eastAsia="方正仿宋_GBK" w:hAnsi="方正仿宋_GBK" w:cs="方正仿宋_GBK"/>
          <w:kern w:val="0"/>
          <w:sz w:val="32"/>
          <w:szCs w:val="32"/>
        </w:rPr>
        <w:t>宁企通</w:t>
      </w:r>
      <w:proofErr w:type="gramEnd"/>
      <w:r>
        <w:rPr>
          <w:rFonts w:ascii="方正仿宋_GBK" w:eastAsia="方正仿宋_GBK" w:hAnsi="方正仿宋_GBK" w:cs="方正仿宋_GBK"/>
          <w:kern w:val="0"/>
          <w:sz w:val="32"/>
          <w:szCs w:val="32"/>
        </w:rPr>
        <w:t>平台的惠企政策共34个，与宁企通平台商讨相关申报流程和功能设计，实现服务对象统一在“宁企通”入口申请项目，项目数据通过接口实时推送至科技计划管理信息系统</w:t>
      </w:r>
      <w:r>
        <w:rPr>
          <w:rFonts w:ascii="方正仿宋_GBK" w:eastAsia="方正仿宋_GBK" w:hAnsi="方正仿宋_GBK" w:cs="方正仿宋_GBK" w:hint="eastAsia"/>
          <w:kern w:val="0"/>
          <w:sz w:val="32"/>
          <w:szCs w:val="32"/>
        </w:rPr>
        <w:t>，自</w:t>
      </w:r>
      <w:r>
        <w:rPr>
          <w:rFonts w:ascii="方正仿宋_GBK" w:eastAsia="方正仿宋_GBK" w:hAnsi="方正仿宋_GBK" w:cs="方正仿宋_GBK"/>
          <w:kern w:val="0"/>
          <w:sz w:val="32"/>
          <w:szCs w:val="32"/>
        </w:rPr>
        <w:t>启动以来共在“宁企通”平台上线事项45个，其中申报类41个，累计在线申报项目3112项。为提升用户使用体验，制作申报流程图、申报手册等，通过“创新南京”、“南京政务服务”</w:t>
      </w:r>
      <w:proofErr w:type="gramStart"/>
      <w:r>
        <w:rPr>
          <w:rFonts w:ascii="方正仿宋_GBK" w:eastAsia="方正仿宋_GBK" w:hAnsi="方正仿宋_GBK" w:cs="方正仿宋_GBK"/>
          <w:kern w:val="0"/>
          <w:sz w:val="32"/>
          <w:szCs w:val="32"/>
        </w:rPr>
        <w:t>微信公众号</w:t>
      </w:r>
      <w:proofErr w:type="gramEnd"/>
      <w:r>
        <w:rPr>
          <w:rFonts w:ascii="方正仿宋_GBK" w:eastAsia="方正仿宋_GBK" w:hAnsi="方正仿宋_GBK" w:cs="方正仿宋_GBK"/>
          <w:kern w:val="0"/>
          <w:sz w:val="32"/>
          <w:szCs w:val="32"/>
        </w:rPr>
        <w:t>等开展宣传。做好政策直达对象资质梳理</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完成高新技术企业、科技型中小企业、新型研发机构等11类企业资质信息梳理，累计梳理信息43205条。</w:t>
      </w:r>
      <w:r>
        <w:rPr>
          <w:rFonts w:ascii="方正楷体_GBK" w:eastAsia="方正楷体_GBK" w:hAnsi="方正楷体_GBK" w:cs="方正楷体_GBK" w:hint="eastAsia"/>
          <w:color w:val="000000" w:themeColor="text1"/>
          <w:sz w:val="32"/>
          <w:szCs w:val="32"/>
        </w:rPr>
        <w:t>三</w:t>
      </w:r>
      <w:r>
        <w:rPr>
          <w:rFonts w:ascii="方正楷体_GBK" w:eastAsia="方正楷体_GBK" w:hAnsi="方正楷体_GBK" w:cs="方正楷体_GBK"/>
          <w:color w:val="000000" w:themeColor="text1"/>
          <w:sz w:val="32"/>
          <w:szCs w:val="32"/>
        </w:rPr>
        <w:t>是</w:t>
      </w:r>
      <w:r>
        <w:rPr>
          <w:rFonts w:ascii="方正仿宋_GBK" w:eastAsia="方正仿宋_GBK" w:hAnsi="方正仿宋_GBK" w:cs="方正仿宋_GBK"/>
          <w:kern w:val="0"/>
          <w:sz w:val="32"/>
          <w:szCs w:val="32"/>
        </w:rPr>
        <w:t>开展多层次政策宣传。完成“苏政40条”对口事项认领和维护工作；按照南京市公共服务事项标准化规范化建设工作要求，梳理涉及</w:t>
      </w:r>
      <w:proofErr w:type="gramStart"/>
      <w:r>
        <w:rPr>
          <w:rFonts w:ascii="方正仿宋_GBK" w:eastAsia="方正仿宋_GBK" w:hAnsi="方正仿宋_GBK" w:cs="方正仿宋_GBK"/>
          <w:kern w:val="0"/>
          <w:sz w:val="32"/>
          <w:szCs w:val="32"/>
        </w:rPr>
        <w:t>科技类市设</w:t>
      </w:r>
      <w:proofErr w:type="gramEnd"/>
      <w:r>
        <w:rPr>
          <w:rFonts w:ascii="方正仿宋_GBK" w:eastAsia="方正仿宋_GBK" w:hAnsi="方正仿宋_GBK" w:cs="方正仿宋_GBK"/>
          <w:kern w:val="0"/>
          <w:sz w:val="32"/>
          <w:szCs w:val="32"/>
        </w:rPr>
        <w:t>公共服务事项，完成省政务服务事项库15个公共服务事项的标准化转换；完成网站监测情况中省</w:t>
      </w:r>
      <w:proofErr w:type="gramStart"/>
      <w:r>
        <w:rPr>
          <w:rFonts w:ascii="方正仿宋_GBK" w:eastAsia="方正仿宋_GBK" w:hAnsi="方正仿宋_GBK" w:cs="方正仿宋_GBK"/>
          <w:kern w:val="0"/>
          <w:sz w:val="32"/>
          <w:szCs w:val="32"/>
        </w:rPr>
        <w:t>政务网</w:t>
      </w:r>
      <w:proofErr w:type="gramEnd"/>
      <w:r>
        <w:rPr>
          <w:rFonts w:ascii="方正仿宋_GBK" w:eastAsia="方正仿宋_GBK" w:hAnsi="方正仿宋_GBK" w:cs="方正仿宋_GBK"/>
          <w:kern w:val="0"/>
          <w:sz w:val="32"/>
          <w:szCs w:val="32"/>
        </w:rPr>
        <w:t>公示事项信息的整改，及时对事项信息缺陷开展维护，确保公开信息准确；梳理政策问答。从办事对象角度出发，完成</w:t>
      </w:r>
      <w:r>
        <w:rPr>
          <w:rFonts w:ascii="方正仿宋_GBK" w:eastAsia="方正仿宋_GBK" w:hAnsi="方正仿宋_GBK" w:cs="方正仿宋_GBK" w:hint="eastAsia"/>
          <w:kern w:val="0"/>
          <w:sz w:val="32"/>
          <w:szCs w:val="32"/>
        </w:rPr>
        <w:t>政策</w:t>
      </w:r>
      <w:r>
        <w:rPr>
          <w:rFonts w:ascii="方正仿宋_GBK" w:eastAsia="方正仿宋_GBK" w:hAnsi="方正仿宋_GBK" w:cs="方正仿宋_GBK"/>
          <w:kern w:val="0"/>
          <w:sz w:val="32"/>
          <w:szCs w:val="32"/>
        </w:rPr>
        <w:t>问答梳理，共梳理问答130问，并同步完成了12345平台科技问答知识库更新；完成12345省政务知识库信息维护，上线29条政务信息；完成高新企业可申报科技局政策梳理，共梳理政策24条。开</w:t>
      </w:r>
      <w:r>
        <w:rPr>
          <w:rFonts w:ascii="方正仿宋_GBK" w:eastAsia="方正仿宋_GBK" w:hAnsi="方正仿宋_GBK" w:cs="方正仿宋_GBK"/>
          <w:kern w:val="0"/>
          <w:sz w:val="32"/>
          <w:szCs w:val="32"/>
        </w:rPr>
        <w:lastRenderedPageBreak/>
        <w:t>展新媒体政策宣传。将各</w:t>
      </w:r>
      <w:proofErr w:type="gramStart"/>
      <w:r>
        <w:rPr>
          <w:rFonts w:ascii="方正仿宋_GBK" w:eastAsia="方正仿宋_GBK" w:hAnsi="方正仿宋_GBK" w:cs="方正仿宋_GBK"/>
          <w:kern w:val="0"/>
          <w:sz w:val="32"/>
          <w:szCs w:val="32"/>
        </w:rPr>
        <w:t>类政策</w:t>
      </w:r>
      <w:proofErr w:type="gramEnd"/>
      <w:r>
        <w:rPr>
          <w:rFonts w:ascii="方正仿宋_GBK" w:eastAsia="方正仿宋_GBK" w:hAnsi="方正仿宋_GBK" w:cs="方正仿宋_GBK"/>
          <w:kern w:val="0"/>
          <w:sz w:val="32"/>
          <w:szCs w:val="32"/>
        </w:rPr>
        <w:t>进行精细化解读，讲究“用户思维”，从服务对象角度出发，制作成长图、视频等新媒体产品，积极向“南京政务”微博、“南京政务”</w:t>
      </w:r>
      <w:proofErr w:type="gramStart"/>
      <w:r>
        <w:rPr>
          <w:rFonts w:ascii="方正仿宋_GBK" w:eastAsia="方正仿宋_GBK" w:hAnsi="方正仿宋_GBK" w:cs="方正仿宋_GBK"/>
          <w:kern w:val="0"/>
          <w:sz w:val="32"/>
          <w:szCs w:val="32"/>
        </w:rPr>
        <w:t>微信公众号</w:t>
      </w:r>
      <w:proofErr w:type="gramEnd"/>
      <w:r>
        <w:rPr>
          <w:rFonts w:ascii="方正仿宋_GBK" w:eastAsia="方正仿宋_GBK" w:hAnsi="方正仿宋_GBK" w:cs="方正仿宋_GBK"/>
          <w:kern w:val="0"/>
          <w:sz w:val="32"/>
          <w:szCs w:val="32"/>
        </w:rPr>
        <w:t>等新媒体平台投稿，进一步提升了政策宣传的效能。全年共制作上报政策通讯稿23篇，被录用22篇，其中长图21个，视频2个。四是做好政策宣讲。开展了6场</w:t>
      </w:r>
      <w:r>
        <w:rPr>
          <w:rFonts w:ascii="方正仿宋_GBK" w:eastAsia="方正仿宋_GBK" w:hAnsi="方正仿宋_GBK" w:cs="方正仿宋_GBK" w:hint="eastAsia"/>
          <w:kern w:val="0"/>
          <w:sz w:val="32"/>
          <w:szCs w:val="32"/>
        </w:rPr>
        <w:t>科技</w:t>
      </w:r>
      <w:r>
        <w:rPr>
          <w:rFonts w:ascii="方正仿宋_GBK" w:eastAsia="方正仿宋_GBK" w:hAnsi="方正仿宋_GBK" w:cs="方正仿宋_GBK"/>
          <w:kern w:val="0"/>
          <w:sz w:val="32"/>
          <w:szCs w:val="32"/>
        </w:rPr>
        <w:t>政策宣讲，线下累计培训人数约300人。</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sz w:val="32"/>
          <w:szCs w:val="32"/>
        </w:rPr>
        <w:t>3</w:t>
      </w:r>
      <w:r>
        <w:rPr>
          <w:rFonts w:ascii="方正楷体_GBK" w:eastAsia="方正楷体_GBK" w:hAnsi="方正楷体_GBK" w:cs="方正楷体_GBK"/>
          <w:sz w:val="32"/>
          <w:szCs w:val="32"/>
        </w:rPr>
        <w:t>.推动科技企业高质量发展</w:t>
      </w:r>
      <w:r>
        <w:rPr>
          <w:rFonts w:ascii="方正楷体_GBK" w:eastAsia="方正楷体_GBK" w:hAnsi="方正楷体_GBK" w:cs="方正楷体_GBK" w:hint="eastAsia"/>
          <w:sz w:val="32"/>
          <w:szCs w:val="32"/>
        </w:rPr>
        <w:t>。</w:t>
      </w:r>
      <w:r>
        <w:rPr>
          <w:rFonts w:ascii="方正仿宋_GBK" w:eastAsia="方正仿宋_GBK" w:hAnsi="方正仿宋_GBK" w:cs="方正仿宋_GBK"/>
          <w:kern w:val="0"/>
          <w:sz w:val="32"/>
          <w:szCs w:val="32"/>
        </w:rPr>
        <w:t>一是积极推进高新技术企业培育。为区级主管部门提供申报材料整合、预审及上报数据汇总等功能服务，进一步健全市区两级审核体系。组织或联合组织高</w:t>
      </w:r>
      <w:proofErr w:type="gramStart"/>
      <w:r>
        <w:rPr>
          <w:rFonts w:ascii="方正仿宋_GBK" w:eastAsia="方正仿宋_GBK" w:hAnsi="方正仿宋_GBK" w:cs="方正仿宋_GBK"/>
          <w:kern w:val="0"/>
          <w:sz w:val="32"/>
          <w:szCs w:val="32"/>
        </w:rPr>
        <w:t>企培训</w:t>
      </w:r>
      <w:proofErr w:type="gramEnd"/>
      <w:r>
        <w:rPr>
          <w:rFonts w:ascii="方正仿宋_GBK" w:eastAsia="方正仿宋_GBK" w:hAnsi="方正仿宋_GBK" w:cs="方正仿宋_GBK"/>
          <w:kern w:val="0"/>
          <w:sz w:val="32"/>
          <w:szCs w:val="32"/>
        </w:rPr>
        <w:t>共10场，其中市级高</w:t>
      </w:r>
      <w:proofErr w:type="gramStart"/>
      <w:r>
        <w:rPr>
          <w:rFonts w:ascii="方正仿宋_GBK" w:eastAsia="方正仿宋_GBK" w:hAnsi="方正仿宋_GBK" w:cs="方正仿宋_GBK"/>
          <w:kern w:val="0"/>
          <w:sz w:val="32"/>
          <w:szCs w:val="32"/>
        </w:rPr>
        <w:t>企主管</w:t>
      </w:r>
      <w:proofErr w:type="gramEnd"/>
      <w:r>
        <w:rPr>
          <w:rFonts w:ascii="方正仿宋_GBK" w:eastAsia="方正仿宋_GBK" w:hAnsi="方正仿宋_GBK" w:cs="方正仿宋_GBK"/>
          <w:kern w:val="0"/>
          <w:sz w:val="32"/>
          <w:szCs w:val="32"/>
        </w:rPr>
        <w:t>人员专场培训4场、市区联动高</w:t>
      </w:r>
      <w:proofErr w:type="gramStart"/>
      <w:r>
        <w:rPr>
          <w:rFonts w:ascii="方正仿宋_GBK" w:eastAsia="方正仿宋_GBK" w:hAnsi="方正仿宋_GBK" w:cs="方正仿宋_GBK"/>
          <w:kern w:val="0"/>
          <w:sz w:val="32"/>
          <w:szCs w:val="32"/>
        </w:rPr>
        <w:t>企重点</w:t>
      </w:r>
      <w:proofErr w:type="gramEnd"/>
      <w:r>
        <w:rPr>
          <w:rFonts w:ascii="方正仿宋_GBK" w:eastAsia="方正仿宋_GBK" w:hAnsi="方正仿宋_GBK" w:cs="方正仿宋_GBK"/>
          <w:kern w:val="0"/>
          <w:sz w:val="32"/>
          <w:szCs w:val="32"/>
        </w:rPr>
        <w:t>企业培训4场、专家进园区服务1场、</w:t>
      </w:r>
      <w:proofErr w:type="gramStart"/>
      <w:r>
        <w:rPr>
          <w:rFonts w:ascii="方正仿宋_GBK" w:eastAsia="方正仿宋_GBK" w:hAnsi="方正仿宋_GBK" w:cs="方正仿宋_GBK"/>
          <w:kern w:val="0"/>
          <w:sz w:val="32"/>
          <w:szCs w:val="32"/>
        </w:rPr>
        <w:t>形审专家</w:t>
      </w:r>
      <w:proofErr w:type="gramEnd"/>
      <w:r>
        <w:rPr>
          <w:rFonts w:ascii="方正仿宋_GBK" w:eastAsia="方正仿宋_GBK" w:hAnsi="方正仿宋_GBK" w:cs="方正仿宋_GBK"/>
          <w:kern w:val="0"/>
          <w:sz w:val="32"/>
          <w:szCs w:val="32"/>
        </w:rPr>
        <w:t>专项培训1场。</w:t>
      </w:r>
      <w:proofErr w:type="gramStart"/>
      <w:r>
        <w:rPr>
          <w:rFonts w:ascii="方正仿宋_GBK" w:eastAsia="方正仿宋_GBK" w:hAnsi="方正仿宋_GBK" w:cs="方正仿宋_GBK"/>
          <w:kern w:val="0"/>
          <w:sz w:val="32"/>
          <w:szCs w:val="32"/>
        </w:rPr>
        <w:t>在国网平台</w:t>
      </w:r>
      <w:proofErr w:type="gramEnd"/>
      <w:r>
        <w:rPr>
          <w:rFonts w:ascii="方正仿宋_GBK" w:eastAsia="方正仿宋_GBK" w:hAnsi="方正仿宋_GBK" w:cs="方正仿宋_GBK"/>
          <w:kern w:val="0"/>
          <w:sz w:val="32"/>
          <w:szCs w:val="32"/>
        </w:rPr>
        <w:t>使用、审核内容标准化等方面有针对性地对各板块审核人员进行专项辅导；利用各类工作群开展形式审核要点辅导，对各个批次材料中出现的共性问题进行分类汇总并反馈。对于预评成绩在分数线上下的企业，开展精准化培育。通过材料重点审核、组织家团队会诊辅导、中心人员上门辅导及持续跟踪等形式强化辅导，进一步提升认定通过率。</w:t>
      </w:r>
      <w:r>
        <w:rPr>
          <w:rFonts w:ascii="方正仿宋_GBK" w:eastAsia="方正仿宋_GBK" w:hAnsi="方正仿宋_GBK" w:cs="方正仿宋_GBK" w:hint="eastAsia"/>
          <w:kern w:val="0"/>
          <w:sz w:val="32"/>
          <w:szCs w:val="32"/>
        </w:rPr>
        <w:t>全市2022年有效期内</w:t>
      </w:r>
      <w:proofErr w:type="gramStart"/>
      <w:r>
        <w:rPr>
          <w:rFonts w:ascii="方正仿宋_GBK" w:eastAsia="方正仿宋_GBK" w:hAnsi="方正仿宋_GBK" w:cs="方正仿宋_GBK" w:hint="eastAsia"/>
          <w:kern w:val="0"/>
          <w:sz w:val="32"/>
          <w:szCs w:val="32"/>
        </w:rPr>
        <w:t>高企共9068家</w:t>
      </w:r>
      <w:proofErr w:type="gramEnd"/>
      <w:r>
        <w:rPr>
          <w:rFonts w:ascii="方正仿宋_GBK" w:eastAsia="方正仿宋_GBK" w:hAnsi="方正仿宋_GBK" w:cs="方正仿宋_GBK"/>
          <w:kern w:val="0"/>
          <w:sz w:val="32"/>
          <w:szCs w:val="32"/>
        </w:rPr>
        <w:t>。</w:t>
      </w:r>
      <w:r>
        <w:rPr>
          <w:rFonts w:ascii="方正楷体_GBK" w:eastAsia="方正楷体_GBK" w:hAnsi="方正楷体_GBK" w:cs="方正楷体_GBK" w:hint="eastAsia"/>
          <w:sz w:val="32"/>
          <w:szCs w:val="32"/>
        </w:rPr>
        <w:t>二</w:t>
      </w:r>
      <w:r>
        <w:rPr>
          <w:rFonts w:ascii="方正楷体_GBK" w:eastAsia="方正楷体_GBK" w:hAnsi="方正楷体_GBK" w:cs="方正楷体_GBK"/>
          <w:sz w:val="32"/>
          <w:szCs w:val="32"/>
        </w:rPr>
        <w:t>是</w:t>
      </w:r>
      <w:r>
        <w:rPr>
          <w:rFonts w:ascii="方正仿宋_GBK" w:eastAsia="方正仿宋_GBK" w:hAnsi="方正仿宋_GBK" w:cs="方正仿宋_GBK"/>
          <w:kern w:val="0"/>
          <w:sz w:val="32"/>
          <w:szCs w:val="32"/>
        </w:rPr>
        <w:t>扎实开展科技型中小企业评价。为推进高企后备企业梯度培育，细致做好2022年度科技型中小企业评价审核及抽查、核查工作，本年度七批次合计审核科技型中小企业评价申报企业超28000家次，其中20</w:t>
      </w:r>
      <w:r>
        <w:rPr>
          <w:rFonts w:ascii="方正仿宋_GBK" w:eastAsia="方正仿宋_GBK" w:hAnsi="方正仿宋_GBK" w:cs="方正仿宋_GBK" w:hint="eastAsia"/>
          <w:kern w:val="0"/>
          <w:sz w:val="32"/>
          <w:szCs w:val="32"/>
        </w:rPr>
        <w:t>173</w:t>
      </w:r>
      <w:r>
        <w:rPr>
          <w:rFonts w:ascii="方正仿宋_GBK" w:eastAsia="方正仿宋_GBK" w:hAnsi="方正仿宋_GBK" w:cs="方正仿宋_GBK"/>
          <w:kern w:val="0"/>
          <w:sz w:val="32"/>
          <w:szCs w:val="32"/>
        </w:rPr>
        <w:t>家获得入库编号，同比增长20.</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kern w:val="0"/>
          <w:sz w:val="32"/>
          <w:szCs w:val="32"/>
        </w:rPr>
        <w:t>%；已培育有“四科”特征的科小342家，位居全省第一；合计完成国家和省级部门抽查核查申报企业超3000家次。</w:t>
      </w:r>
      <w:r>
        <w:rPr>
          <w:rFonts w:ascii="方正楷体_GBK" w:eastAsia="方正楷体_GBK" w:hAnsi="方正楷体_GBK" w:cs="方正楷体_GBK" w:hint="eastAsia"/>
          <w:sz w:val="32"/>
          <w:szCs w:val="32"/>
        </w:rPr>
        <w:t>三</w:t>
      </w:r>
      <w:r>
        <w:rPr>
          <w:rFonts w:ascii="方正楷体_GBK" w:eastAsia="方正楷体_GBK" w:hAnsi="方正楷体_GBK" w:cs="方正楷体_GBK"/>
          <w:sz w:val="32"/>
          <w:szCs w:val="32"/>
        </w:rPr>
        <w:t>是</w:t>
      </w:r>
      <w:r>
        <w:rPr>
          <w:rFonts w:ascii="方正仿宋_GBK" w:eastAsia="方正仿宋_GBK" w:hAnsi="方正仿宋_GBK" w:cs="方正仿宋_GBK"/>
          <w:kern w:val="0"/>
          <w:sz w:val="32"/>
          <w:szCs w:val="32"/>
        </w:rPr>
        <w:t>细致做好省民营科技企业审核。严格对照标准文件开展审核，</w:t>
      </w:r>
      <w:proofErr w:type="gramStart"/>
      <w:r>
        <w:rPr>
          <w:rFonts w:ascii="方正仿宋_GBK" w:eastAsia="方正仿宋_GBK" w:hAnsi="方正仿宋_GBK" w:cs="方正仿宋_GBK"/>
          <w:kern w:val="0"/>
          <w:sz w:val="32"/>
          <w:szCs w:val="32"/>
        </w:rPr>
        <w:t>合理把控各</w:t>
      </w:r>
      <w:proofErr w:type="gramEnd"/>
      <w:r>
        <w:rPr>
          <w:rFonts w:ascii="方正仿宋_GBK" w:eastAsia="方正仿宋_GBK" w:hAnsi="方正仿宋_GBK" w:cs="方正仿宋_GBK"/>
          <w:kern w:val="0"/>
          <w:sz w:val="32"/>
          <w:szCs w:val="32"/>
        </w:rPr>
        <w:t>批次</w:t>
      </w:r>
      <w:r>
        <w:rPr>
          <w:rFonts w:ascii="方正仿宋_GBK" w:eastAsia="方正仿宋_GBK" w:hAnsi="方正仿宋_GBK" w:cs="方正仿宋_GBK"/>
          <w:kern w:val="0"/>
          <w:sz w:val="32"/>
          <w:szCs w:val="32"/>
        </w:rPr>
        <w:lastRenderedPageBreak/>
        <w:t>推荐进度，进一步提升认定通过率。全年累计完成三批次共1226家省科技民营企业备案。同时做好企业服务工作，针对民营科技企业备案条件与程序较为复杂的特点，积极主动解答企业所咨询的问题。</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4</w:t>
      </w:r>
      <w:r>
        <w:rPr>
          <w:rFonts w:ascii="方正楷体_GBK" w:eastAsia="方正楷体_GBK" w:hAnsi="方正楷体_GBK" w:cs="方正楷体_GBK"/>
          <w:color w:val="000000" w:themeColor="text1"/>
          <w:sz w:val="32"/>
          <w:szCs w:val="32"/>
        </w:rPr>
        <w:t>.全力以赴推进技术合同认定登记工作</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一是</w:t>
      </w:r>
      <w:r>
        <w:rPr>
          <w:rFonts w:ascii="方正仿宋_GBK" w:eastAsia="方正仿宋_GBK" w:hAnsi="方正仿宋_GBK" w:cs="方正仿宋_GBK"/>
          <w:kern w:val="0"/>
          <w:sz w:val="32"/>
          <w:szCs w:val="32"/>
        </w:rPr>
        <w:t>充分发挥技术合同认定登记市区联动工作体系优势，制定目标、定期监测，按月发布全市各区（园区）技术合同成交额完成情况监测数据及认定登记质量核查情况</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实时提供各类监测数据</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全年共认定登记技术合同37345项，成交额856.70亿元</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对全市各区级登记机构的技术合同进行核查</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终审，</w:t>
      </w:r>
      <w:r>
        <w:rPr>
          <w:rFonts w:ascii="方正仿宋_GBK" w:eastAsia="方正仿宋_GBK" w:hAnsi="方正仿宋_GBK" w:cs="方正仿宋_GBK" w:hint="eastAsia"/>
          <w:kern w:val="0"/>
          <w:sz w:val="32"/>
          <w:szCs w:val="32"/>
        </w:rPr>
        <w:t>并</w:t>
      </w:r>
      <w:r>
        <w:rPr>
          <w:rFonts w:ascii="方正仿宋_GBK" w:eastAsia="方正仿宋_GBK" w:hAnsi="方正仿宋_GBK" w:cs="方正仿宋_GBK"/>
          <w:kern w:val="0"/>
          <w:sz w:val="32"/>
          <w:szCs w:val="32"/>
        </w:rPr>
        <w:t>督促整改。通过多渠道、多途径开展技术市场相关政策、业务培训，积极落实技术市场相关法律法规政策</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全年共参与各类培训23场，累计培训700余人。</w:t>
      </w:r>
      <w:r>
        <w:rPr>
          <w:rFonts w:ascii="方正楷体_GBK" w:eastAsia="方正楷体_GBK" w:hAnsi="方正楷体_GBK" w:cs="方正楷体_GBK"/>
          <w:color w:val="000000" w:themeColor="text1"/>
          <w:sz w:val="32"/>
          <w:szCs w:val="32"/>
        </w:rPr>
        <w:t>二是</w:t>
      </w:r>
      <w:r>
        <w:rPr>
          <w:rFonts w:ascii="方正仿宋_GBK" w:eastAsia="方正仿宋_GBK" w:hAnsi="方正仿宋_GBK" w:cs="方正仿宋_GBK"/>
          <w:kern w:val="0"/>
          <w:sz w:val="32"/>
          <w:szCs w:val="32"/>
        </w:rPr>
        <w:t>开展省市技术</w:t>
      </w:r>
      <w:proofErr w:type="gramStart"/>
      <w:r>
        <w:rPr>
          <w:rFonts w:ascii="方正仿宋_GBK" w:eastAsia="方正仿宋_GBK" w:hAnsi="方正仿宋_GBK" w:cs="方正仿宋_GBK"/>
          <w:kern w:val="0"/>
          <w:sz w:val="32"/>
          <w:szCs w:val="32"/>
        </w:rPr>
        <w:t>转移奖补</w:t>
      </w:r>
      <w:proofErr w:type="gramEnd"/>
      <w:r>
        <w:rPr>
          <w:rFonts w:ascii="方正仿宋_GBK" w:eastAsia="方正仿宋_GBK" w:hAnsi="方正仿宋_GBK" w:cs="方正仿宋_GBK"/>
          <w:kern w:val="0"/>
          <w:sz w:val="32"/>
          <w:szCs w:val="32"/>
        </w:rPr>
        <w:t>工作。组织对2022年省技术</w:t>
      </w:r>
      <w:proofErr w:type="gramStart"/>
      <w:r>
        <w:rPr>
          <w:rFonts w:ascii="方正仿宋_GBK" w:eastAsia="方正仿宋_GBK" w:hAnsi="方正仿宋_GBK" w:cs="方正仿宋_GBK"/>
          <w:kern w:val="0"/>
          <w:sz w:val="32"/>
          <w:szCs w:val="32"/>
        </w:rPr>
        <w:t>转移奖补数据</w:t>
      </w:r>
      <w:proofErr w:type="gramEnd"/>
      <w:r>
        <w:rPr>
          <w:rFonts w:ascii="方正仿宋_GBK" w:eastAsia="方正仿宋_GBK" w:hAnsi="方正仿宋_GBK" w:cs="方正仿宋_GBK"/>
          <w:kern w:val="0"/>
          <w:sz w:val="32"/>
          <w:szCs w:val="32"/>
        </w:rPr>
        <w:t>核对工作</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共核对技术输出方奖、技术吸纳方、技术中介方</w:t>
      </w:r>
      <w:proofErr w:type="gramStart"/>
      <w:r>
        <w:rPr>
          <w:rFonts w:ascii="方正仿宋_GBK" w:eastAsia="方正仿宋_GBK" w:hAnsi="方正仿宋_GBK" w:cs="方正仿宋_GBK"/>
          <w:kern w:val="0"/>
          <w:sz w:val="32"/>
          <w:szCs w:val="32"/>
        </w:rPr>
        <w:t>奖补相关</w:t>
      </w:r>
      <w:proofErr w:type="gramEnd"/>
      <w:r>
        <w:rPr>
          <w:rFonts w:ascii="方正仿宋_GBK" w:eastAsia="方正仿宋_GBK" w:hAnsi="方正仿宋_GBK" w:cs="方正仿宋_GBK"/>
          <w:kern w:val="0"/>
          <w:sz w:val="32"/>
          <w:szCs w:val="32"/>
        </w:rPr>
        <w:t>合同2970份，涉及合同金额78.41亿元。开展南京市技术</w:t>
      </w:r>
      <w:proofErr w:type="gramStart"/>
      <w:r>
        <w:rPr>
          <w:rFonts w:ascii="方正仿宋_GBK" w:eastAsia="方正仿宋_GBK" w:hAnsi="方正仿宋_GBK" w:cs="方正仿宋_GBK"/>
          <w:kern w:val="0"/>
          <w:sz w:val="32"/>
          <w:szCs w:val="32"/>
        </w:rPr>
        <w:t>转移奖补</w:t>
      </w:r>
      <w:proofErr w:type="gramEnd"/>
      <w:r>
        <w:rPr>
          <w:rFonts w:ascii="方正仿宋_GBK" w:eastAsia="方正仿宋_GBK" w:hAnsi="方正仿宋_GBK" w:cs="方正仿宋_GBK"/>
          <w:kern w:val="0"/>
          <w:sz w:val="32"/>
          <w:szCs w:val="32"/>
        </w:rPr>
        <w:t>工作，受理申报299项，其中技术吸纳方276项（技术合同495份），技术转移机构19项（技术合同1032份），技术经理（经纪）人4项（技术合同11份）</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对申报项目进行形式审查及初审。协助市科技局组织专家会评</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专家现场考察</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现场考察。</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5</w:t>
      </w:r>
      <w:r>
        <w:rPr>
          <w:rFonts w:ascii="方正楷体_GBK" w:eastAsia="方正楷体_GBK" w:hAnsi="方正楷体_GBK" w:cs="方正楷体_GBK"/>
          <w:color w:val="000000" w:themeColor="text1"/>
          <w:sz w:val="32"/>
          <w:szCs w:val="32"/>
        </w:rPr>
        <w:t>.大力推进省技术产权交易市场南京分中心建设</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一是</w:t>
      </w:r>
      <w:r>
        <w:rPr>
          <w:rFonts w:ascii="方正仿宋_GBK" w:eastAsia="方正仿宋_GBK" w:hAnsi="方正仿宋_GBK" w:cs="方正仿宋_GBK"/>
          <w:kern w:val="0"/>
          <w:sz w:val="32"/>
          <w:szCs w:val="32"/>
        </w:rPr>
        <w:t>依托省技术产权交易市场，推进产学研合作平台建设。南京分中心平台累计注册用户1418名，技术经理人305名，开设店铺295家，发布需求2220条，发布成果2209项，发布资讯177条。</w:t>
      </w:r>
      <w:r>
        <w:rPr>
          <w:rFonts w:ascii="方正楷体_GBK" w:eastAsia="方正楷体_GBK" w:hAnsi="方正楷体_GBK" w:cs="方正楷体_GBK"/>
          <w:color w:val="000000" w:themeColor="text1"/>
          <w:sz w:val="32"/>
          <w:szCs w:val="32"/>
        </w:rPr>
        <w:t>二是</w:t>
      </w:r>
      <w:r>
        <w:rPr>
          <w:rFonts w:ascii="方正仿宋_GBK" w:eastAsia="方正仿宋_GBK" w:hAnsi="方正仿宋_GBK" w:cs="方正仿宋_GBK"/>
          <w:kern w:val="0"/>
          <w:sz w:val="32"/>
          <w:szCs w:val="32"/>
        </w:rPr>
        <w:t>积极营造技术转移氛围。全年开展各类技术转移活动33场，南京分中心赴梅钢开展“梳理企业科技政策需求，做好政策精准投送服务”</w:t>
      </w:r>
      <w:r>
        <w:rPr>
          <w:rFonts w:ascii="方正仿宋_GBK" w:eastAsia="方正仿宋_GBK" w:hAnsi="方正仿宋_GBK" w:cs="方正仿宋_GBK"/>
          <w:kern w:val="0"/>
          <w:sz w:val="32"/>
          <w:szCs w:val="32"/>
        </w:rPr>
        <w:lastRenderedPageBreak/>
        <w:t>主题培训活动；联合栖霞区工作站开展“栖智荟 霞科行”“双碳”专题产学研对接活动；联合南京工业大学开展“科技创新月”成果</w:t>
      </w:r>
      <w:proofErr w:type="gramStart"/>
      <w:r>
        <w:rPr>
          <w:rFonts w:ascii="方正仿宋_GBK" w:eastAsia="方正仿宋_GBK" w:hAnsi="方正仿宋_GBK" w:cs="方正仿宋_GBK"/>
          <w:kern w:val="0"/>
          <w:sz w:val="32"/>
          <w:szCs w:val="32"/>
        </w:rPr>
        <w:t>云推广</w:t>
      </w:r>
      <w:proofErr w:type="gramEnd"/>
      <w:r>
        <w:rPr>
          <w:rFonts w:ascii="方正仿宋_GBK" w:eastAsia="方正仿宋_GBK" w:hAnsi="方正仿宋_GBK" w:cs="方正仿宋_GBK"/>
          <w:kern w:val="0"/>
          <w:sz w:val="32"/>
          <w:szCs w:val="32"/>
        </w:rPr>
        <w:t>活动暨“资源共享 助企</w:t>
      </w:r>
      <w:proofErr w:type="gramStart"/>
      <w:r>
        <w:rPr>
          <w:rFonts w:ascii="方正仿宋_GBK" w:eastAsia="方正仿宋_GBK" w:hAnsi="方正仿宋_GBK" w:cs="方正仿宋_GBK"/>
          <w:kern w:val="0"/>
          <w:sz w:val="32"/>
          <w:szCs w:val="32"/>
        </w:rPr>
        <w:t>纾</w:t>
      </w:r>
      <w:proofErr w:type="gramEnd"/>
      <w:r>
        <w:rPr>
          <w:rFonts w:ascii="方正仿宋_GBK" w:eastAsia="方正仿宋_GBK" w:hAnsi="方正仿宋_GBK" w:cs="方正仿宋_GBK"/>
          <w:kern w:val="0"/>
          <w:sz w:val="32"/>
          <w:szCs w:val="32"/>
        </w:rPr>
        <w:t>困”云上技术转移活动；联合栖霞区科技局、栖霞区工作站开展技术合同认定登记培训活动等。</w:t>
      </w:r>
      <w:r>
        <w:rPr>
          <w:rFonts w:ascii="方正楷体_GBK" w:eastAsia="方正楷体_GBK" w:hAnsi="方正楷体_GBK" w:cs="方正楷体_GBK"/>
          <w:color w:val="000000" w:themeColor="text1"/>
          <w:sz w:val="32"/>
          <w:szCs w:val="32"/>
        </w:rPr>
        <w:t>三是</w:t>
      </w:r>
      <w:r>
        <w:rPr>
          <w:rFonts w:ascii="方正仿宋_GBK" w:eastAsia="方正仿宋_GBK" w:hAnsi="方正仿宋_GBK" w:cs="方正仿宋_GBK"/>
          <w:kern w:val="0"/>
          <w:sz w:val="32"/>
          <w:szCs w:val="32"/>
        </w:rPr>
        <w:t>积极承办江苏省“揭榜挂帅”技术转移品牌活动。南京分中心承办活动2022年江苏省专利（成果）拍卖季生物医药产业专场（南京）活动</w:t>
      </w:r>
      <w:r>
        <w:rPr>
          <w:rFonts w:ascii="方正仿宋_GBK" w:eastAsia="方正仿宋_GBK" w:hAnsi="方正仿宋_GBK" w:cs="方正仿宋_GBK" w:hint="eastAsia"/>
          <w:kern w:val="0"/>
          <w:sz w:val="32"/>
          <w:szCs w:val="32"/>
        </w:rPr>
        <w:t>及</w:t>
      </w:r>
      <w:r>
        <w:rPr>
          <w:rFonts w:ascii="方正仿宋_GBK" w:eastAsia="方正仿宋_GBK" w:hAnsi="方正仿宋_GBK" w:cs="方正仿宋_GBK"/>
          <w:kern w:val="0"/>
          <w:sz w:val="32"/>
          <w:szCs w:val="32"/>
        </w:rPr>
        <w:t>2022年江苏省J-TOP创新挑战季新一代信息技术专场活动。联动各园区科技主管部门和技术经理人事务所走访企业，</w:t>
      </w:r>
      <w:r>
        <w:rPr>
          <w:rFonts w:ascii="方正仿宋_GBK" w:eastAsia="方正仿宋_GBK" w:hAnsi="方正仿宋_GBK" w:cs="方正仿宋_GBK" w:hint="eastAsia"/>
          <w:kern w:val="0"/>
          <w:sz w:val="32"/>
          <w:szCs w:val="32"/>
        </w:rPr>
        <w:t>共</w:t>
      </w:r>
      <w:r>
        <w:rPr>
          <w:rFonts w:ascii="方正仿宋_GBK" w:eastAsia="方正仿宋_GBK" w:hAnsi="方正仿宋_GBK" w:cs="方正仿宋_GBK"/>
          <w:kern w:val="0"/>
          <w:sz w:val="32"/>
          <w:szCs w:val="32"/>
        </w:rPr>
        <w:t>挖掘企业需求225条，发布新一代信息技术需求175条和生物医药产业相关的专利（成果）超300项，服务企业超600家，两场活动现场签约8项，技术合同成交额共3860.8万元。南京分中心常态</w:t>
      </w:r>
      <w:proofErr w:type="gramStart"/>
      <w:r>
        <w:rPr>
          <w:rFonts w:ascii="方正仿宋_GBK" w:eastAsia="方正仿宋_GBK" w:hAnsi="方正仿宋_GBK" w:cs="方正仿宋_GBK"/>
          <w:kern w:val="0"/>
          <w:sz w:val="32"/>
          <w:szCs w:val="32"/>
        </w:rPr>
        <w:t>化开展</w:t>
      </w:r>
      <w:proofErr w:type="gramEnd"/>
      <w:r>
        <w:rPr>
          <w:rFonts w:ascii="方正仿宋_GBK" w:eastAsia="方正仿宋_GBK" w:hAnsi="方正仿宋_GBK" w:cs="方正仿宋_GBK"/>
          <w:kern w:val="0"/>
          <w:sz w:val="32"/>
          <w:szCs w:val="32"/>
        </w:rPr>
        <w:t>技术转移工作，全年累计促成技术交易64项，技术合同成交额共4959万元。</w:t>
      </w:r>
      <w:r>
        <w:rPr>
          <w:rFonts w:ascii="方正楷体_GBK" w:eastAsia="方正楷体_GBK" w:hAnsi="方正楷体_GBK" w:cs="方正楷体_GBK"/>
          <w:color w:val="000000" w:themeColor="text1"/>
          <w:sz w:val="32"/>
          <w:szCs w:val="32"/>
        </w:rPr>
        <w:t>四是</w:t>
      </w:r>
      <w:r>
        <w:rPr>
          <w:rFonts w:ascii="方正仿宋_GBK" w:eastAsia="方正仿宋_GBK" w:hAnsi="方正仿宋_GBK" w:cs="方正仿宋_GBK"/>
          <w:kern w:val="0"/>
          <w:sz w:val="32"/>
          <w:szCs w:val="32"/>
        </w:rPr>
        <w:t>加强技术转移体系建设。积极组织技术经理人申报工作，全年新增备案技术经理人163人。积极组织技术经理人参加国家技术转移专业人才能力等级培训活动。经过初步遴选，推荐9家机构申报江苏省技术市场技术经理人事务所，其中4家机构被认定为2022年江苏省技术市场技术经理人事务所，4家机构纳入2022年江苏省技术市场技术经理人事务所培育库。南京分中心累计集聚专业化技术转移服务机构超100家。</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6</w:t>
      </w:r>
      <w:r>
        <w:rPr>
          <w:rFonts w:ascii="方正楷体_GBK" w:eastAsia="方正楷体_GBK" w:hAnsi="方正楷体_GBK" w:cs="方正楷体_GBK"/>
          <w:color w:val="000000" w:themeColor="text1"/>
          <w:sz w:val="32"/>
          <w:szCs w:val="32"/>
        </w:rPr>
        <w:t>.推动新型研发机构建设</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一是</w:t>
      </w:r>
      <w:r>
        <w:rPr>
          <w:rFonts w:ascii="方正仿宋_GBK" w:eastAsia="方正仿宋_GBK" w:hAnsi="方正仿宋_GBK" w:cs="方正仿宋_GBK"/>
          <w:kern w:val="0"/>
          <w:sz w:val="32"/>
          <w:szCs w:val="32"/>
        </w:rPr>
        <w:t>推动新</w:t>
      </w:r>
      <w:proofErr w:type="gramStart"/>
      <w:r>
        <w:rPr>
          <w:rFonts w:ascii="方正仿宋_GBK" w:eastAsia="方正仿宋_GBK" w:hAnsi="方正仿宋_GBK" w:cs="方正仿宋_GBK"/>
          <w:kern w:val="0"/>
          <w:sz w:val="32"/>
          <w:szCs w:val="32"/>
        </w:rPr>
        <w:t>研</w:t>
      </w:r>
      <w:proofErr w:type="gramEnd"/>
      <w:r>
        <w:rPr>
          <w:rFonts w:ascii="方正仿宋_GBK" w:eastAsia="方正仿宋_GBK" w:hAnsi="方正仿宋_GBK" w:cs="方正仿宋_GBK"/>
          <w:kern w:val="0"/>
          <w:sz w:val="32"/>
          <w:szCs w:val="32"/>
        </w:rPr>
        <w:t>机构落地建设。全过程参与市级新</w:t>
      </w:r>
      <w:proofErr w:type="gramStart"/>
      <w:r>
        <w:rPr>
          <w:rFonts w:ascii="方正仿宋_GBK" w:eastAsia="方正仿宋_GBK" w:hAnsi="方正仿宋_GBK" w:cs="方正仿宋_GBK"/>
          <w:kern w:val="0"/>
          <w:sz w:val="32"/>
          <w:szCs w:val="32"/>
        </w:rPr>
        <w:t>研</w:t>
      </w:r>
      <w:proofErr w:type="gramEnd"/>
      <w:r>
        <w:rPr>
          <w:rFonts w:ascii="方正仿宋_GBK" w:eastAsia="方正仿宋_GBK" w:hAnsi="方正仿宋_GBK" w:cs="方正仿宋_GBK"/>
          <w:kern w:val="0"/>
          <w:sz w:val="32"/>
          <w:szCs w:val="32"/>
        </w:rPr>
        <w:t>遴选工作，包括申报布置会组织、材料深度审查、专家评审，组织专家现场考察、暗访，后期参与结果讨论并推荐上报工作。</w:t>
      </w:r>
      <w:r>
        <w:rPr>
          <w:rFonts w:ascii="方正楷体_GBK" w:eastAsia="方正楷体_GBK" w:hAnsi="方正楷体_GBK" w:cs="方正楷体_GBK"/>
          <w:color w:val="000000" w:themeColor="text1"/>
          <w:sz w:val="32"/>
          <w:szCs w:val="32"/>
        </w:rPr>
        <w:t>二是</w:t>
      </w:r>
      <w:r>
        <w:rPr>
          <w:rFonts w:ascii="方正仿宋_GBK" w:eastAsia="方正仿宋_GBK" w:hAnsi="方正仿宋_GBK" w:cs="方正仿宋_GBK"/>
          <w:kern w:val="0"/>
          <w:sz w:val="32"/>
          <w:szCs w:val="32"/>
        </w:rPr>
        <w:t>推动新</w:t>
      </w:r>
      <w:proofErr w:type="gramStart"/>
      <w:r>
        <w:rPr>
          <w:rFonts w:ascii="方正仿宋_GBK" w:eastAsia="方正仿宋_GBK" w:hAnsi="方正仿宋_GBK" w:cs="方正仿宋_GBK"/>
          <w:kern w:val="0"/>
          <w:sz w:val="32"/>
          <w:szCs w:val="32"/>
        </w:rPr>
        <w:t>研</w:t>
      </w:r>
      <w:proofErr w:type="gramEnd"/>
      <w:r>
        <w:rPr>
          <w:rFonts w:ascii="方正仿宋_GBK" w:eastAsia="方正仿宋_GBK" w:hAnsi="方正仿宋_GBK" w:cs="方正仿宋_GBK"/>
          <w:kern w:val="0"/>
          <w:sz w:val="32"/>
          <w:szCs w:val="32"/>
        </w:rPr>
        <w:t>高质量发展。协助市科技局完成“2022年南京市新</w:t>
      </w:r>
      <w:proofErr w:type="gramStart"/>
      <w:r>
        <w:rPr>
          <w:rFonts w:ascii="方正仿宋_GBK" w:eastAsia="方正仿宋_GBK" w:hAnsi="方正仿宋_GBK" w:cs="方正仿宋_GBK"/>
          <w:kern w:val="0"/>
          <w:sz w:val="32"/>
          <w:szCs w:val="32"/>
        </w:rPr>
        <w:t>研</w:t>
      </w:r>
      <w:proofErr w:type="gramEnd"/>
      <w:r>
        <w:rPr>
          <w:rFonts w:ascii="方正仿宋_GBK" w:eastAsia="方正仿宋_GBK" w:hAnsi="方正仿宋_GBK" w:cs="方正仿宋_GBK"/>
          <w:kern w:val="0"/>
          <w:sz w:val="32"/>
          <w:szCs w:val="32"/>
        </w:rPr>
        <w:t>联合技术攻关项目”材料预审、会议评审、现场考察等工作。共94个项目进入会议评审，其中20个项目进入现场</w:t>
      </w:r>
      <w:r>
        <w:rPr>
          <w:rFonts w:ascii="方正仿宋_GBK" w:eastAsia="方正仿宋_GBK" w:hAnsi="方正仿宋_GBK" w:cs="方正仿宋_GBK"/>
          <w:kern w:val="0"/>
          <w:sz w:val="32"/>
          <w:szCs w:val="32"/>
        </w:rPr>
        <w:lastRenderedPageBreak/>
        <w:t>考察；开展新</w:t>
      </w:r>
      <w:proofErr w:type="gramStart"/>
      <w:r>
        <w:rPr>
          <w:rFonts w:ascii="方正仿宋_GBK" w:eastAsia="方正仿宋_GBK" w:hAnsi="方正仿宋_GBK" w:cs="方正仿宋_GBK"/>
          <w:kern w:val="0"/>
          <w:sz w:val="32"/>
          <w:szCs w:val="32"/>
        </w:rPr>
        <w:t>研</w:t>
      </w:r>
      <w:proofErr w:type="gramEnd"/>
      <w:r>
        <w:rPr>
          <w:rFonts w:ascii="方正仿宋_GBK" w:eastAsia="方正仿宋_GBK" w:hAnsi="方正仿宋_GBK" w:cs="方正仿宋_GBK"/>
          <w:kern w:val="0"/>
          <w:sz w:val="32"/>
          <w:szCs w:val="32"/>
        </w:rPr>
        <w:t>季度建设情况调查服务工作；赴溧水区、栖霞区开展新</w:t>
      </w:r>
      <w:proofErr w:type="gramStart"/>
      <w:r>
        <w:rPr>
          <w:rFonts w:ascii="方正仿宋_GBK" w:eastAsia="方正仿宋_GBK" w:hAnsi="方正仿宋_GBK" w:cs="方正仿宋_GBK"/>
          <w:kern w:val="0"/>
          <w:sz w:val="32"/>
          <w:szCs w:val="32"/>
        </w:rPr>
        <w:t>研</w:t>
      </w:r>
      <w:proofErr w:type="gramEnd"/>
      <w:r>
        <w:rPr>
          <w:rFonts w:ascii="方正仿宋_GBK" w:eastAsia="方正仿宋_GBK" w:hAnsi="方正仿宋_GBK" w:cs="方正仿宋_GBK"/>
          <w:kern w:val="0"/>
          <w:sz w:val="32"/>
          <w:szCs w:val="32"/>
        </w:rPr>
        <w:t>疫情防控督查工作。</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7</w:t>
      </w:r>
      <w:r>
        <w:rPr>
          <w:rFonts w:ascii="方正楷体_GBK" w:eastAsia="方正楷体_GBK" w:hAnsi="方正楷体_GBK" w:cs="方正楷体_GBK"/>
          <w:color w:val="000000" w:themeColor="text1"/>
          <w:sz w:val="32"/>
          <w:szCs w:val="32"/>
        </w:rPr>
        <w:t>.推进科技金融向纵深发展</w:t>
      </w:r>
      <w:r>
        <w:rPr>
          <w:rFonts w:ascii="方正楷体_GBK" w:eastAsia="方正楷体_GBK" w:hAnsi="方正楷体_GBK" w:cs="方正楷体_GBK" w:hint="eastAsia"/>
          <w:color w:val="000000" w:themeColor="text1"/>
          <w:sz w:val="32"/>
          <w:szCs w:val="32"/>
        </w:rPr>
        <w:t>。</w:t>
      </w:r>
      <w:r>
        <w:rPr>
          <w:rFonts w:ascii="方正楷体_GBK" w:eastAsia="方正楷体_GBK" w:hAnsi="方正楷体_GBK" w:cs="方正楷体_GBK"/>
          <w:color w:val="000000" w:themeColor="text1"/>
          <w:sz w:val="32"/>
          <w:szCs w:val="32"/>
        </w:rPr>
        <w:t>一是</w:t>
      </w:r>
      <w:r>
        <w:rPr>
          <w:rFonts w:ascii="方正仿宋_GBK" w:eastAsia="方正仿宋_GBK" w:hAnsi="方正仿宋_GBK" w:cs="方正仿宋_GBK"/>
          <w:kern w:val="0"/>
          <w:sz w:val="32"/>
          <w:szCs w:val="32"/>
        </w:rPr>
        <w:t>加快完善贷款政策体系，为科技型企业融资增信助力。不断调整完善“宁科贷”政策，支持性政策由单一的风险代偿延伸</w:t>
      </w:r>
      <w:proofErr w:type="gramStart"/>
      <w:r>
        <w:rPr>
          <w:rFonts w:ascii="方正仿宋_GBK" w:eastAsia="方正仿宋_GBK" w:hAnsi="方正仿宋_GBK" w:cs="方正仿宋_GBK"/>
          <w:kern w:val="0"/>
          <w:sz w:val="32"/>
          <w:szCs w:val="32"/>
        </w:rPr>
        <w:t>至风险</w:t>
      </w:r>
      <w:proofErr w:type="gramEnd"/>
      <w:r>
        <w:rPr>
          <w:rFonts w:ascii="方正仿宋_GBK" w:eastAsia="方正仿宋_GBK" w:hAnsi="方正仿宋_GBK" w:cs="方正仿宋_GBK"/>
          <w:kern w:val="0"/>
          <w:sz w:val="32"/>
          <w:szCs w:val="32"/>
        </w:rPr>
        <w:t>代偿与增量补贴叠加支持，政策惠及面由初创期科技型企业拓展至科技型中小企业，合作银行从11家增加至36家，授信上限从单笔500万元</w:t>
      </w:r>
      <w:proofErr w:type="gramStart"/>
      <w:r>
        <w:rPr>
          <w:rFonts w:ascii="方正仿宋_GBK" w:eastAsia="方正仿宋_GBK" w:hAnsi="方正仿宋_GBK" w:cs="方正仿宋_GBK"/>
          <w:kern w:val="0"/>
          <w:sz w:val="32"/>
          <w:szCs w:val="32"/>
        </w:rPr>
        <w:t>提高至单户</w:t>
      </w:r>
      <w:proofErr w:type="gramEnd"/>
      <w:r>
        <w:rPr>
          <w:rFonts w:ascii="方正仿宋_GBK" w:eastAsia="方正仿宋_GBK" w:hAnsi="方正仿宋_GBK" w:cs="方正仿宋_GBK"/>
          <w:kern w:val="0"/>
          <w:sz w:val="32"/>
          <w:szCs w:val="32"/>
        </w:rPr>
        <w:t>单行2000万元。</w:t>
      </w:r>
      <w:r>
        <w:rPr>
          <w:rFonts w:ascii="方正仿宋_GBK" w:eastAsia="方正仿宋_GBK" w:hAnsi="方正仿宋_GBK" w:cs="方正仿宋_GBK" w:hint="eastAsia"/>
          <w:kern w:val="0"/>
          <w:sz w:val="32"/>
          <w:szCs w:val="32"/>
        </w:rPr>
        <w:t>全年</w:t>
      </w:r>
      <w:r>
        <w:rPr>
          <w:rFonts w:ascii="方正仿宋_GBK" w:eastAsia="方正仿宋_GBK" w:hAnsi="方正仿宋_GBK" w:cs="方正仿宋_GBK"/>
          <w:kern w:val="0"/>
          <w:sz w:val="32"/>
          <w:szCs w:val="32"/>
        </w:rPr>
        <w:t>“宁科贷”审核认定科技型企业56</w:t>
      </w:r>
      <w:r>
        <w:rPr>
          <w:rFonts w:ascii="方正仿宋_GBK" w:eastAsia="方正仿宋_GBK" w:hAnsi="方正仿宋_GBK" w:cs="方正仿宋_GBK" w:hint="eastAsia"/>
          <w:kern w:val="0"/>
          <w:sz w:val="32"/>
          <w:szCs w:val="32"/>
        </w:rPr>
        <w:t>75</w:t>
      </w:r>
      <w:r>
        <w:rPr>
          <w:rFonts w:ascii="方正仿宋_GBK" w:eastAsia="方正仿宋_GBK" w:hAnsi="方正仿宋_GBK" w:cs="方正仿宋_GBK"/>
          <w:kern w:val="0"/>
          <w:sz w:val="32"/>
          <w:szCs w:val="32"/>
        </w:rPr>
        <w:t>家，认定通过企业5</w:t>
      </w:r>
      <w:r>
        <w:rPr>
          <w:rFonts w:ascii="方正仿宋_GBK" w:eastAsia="方正仿宋_GBK" w:hAnsi="方正仿宋_GBK" w:cs="方正仿宋_GBK" w:hint="eastAsia"/>
          <w:kern w:val="0"/>
          <w:sz w:val="32"/>
          <w:szCs w:val="32"/>
        </w:rPr>
        <w:t>607</w:t>
      </w:r>
      <w:r>
        <w:rPr>
          <w:rFonts w:ascii="方正仿宋_GBK" w:eastAsia="方正仿宋_GBK" w:hAnsi="方正仿宋_GBK" w:cs="方正仿宋_GBK"/>
          <w:kern w:val="0"/>
          <w:sz w:val="32"/>
          <w:szCs w:val="32"/>
        </w:rPr>
        <w:t>家（同比增长2</w:t>
      </w:r>
      <w:r>
        <w:rPr>
          <w:rFonts w:ascii="方正仿宋_GBK" w:eastAsia="方正仿宋_GBK" w:hAnsi="方正仿宋_GBK" w:cs="方正仿宋_GBK" w:hint="eastAsia"/>
          <w:kern w:val="0"/>
          <w:sz w:val="32"/>
          <w:szCs w:val="32"/>
        </w:rPr>
        <w:t>2.37</w:t>
      </w:r>
      <w:r>
        <w:rPr>
          <w:rFonts w:ascii="方正仿宋_GBK" w:eastAsia="方正仿宋_GBK" w:hAnsi="方正仿宋_GBK" w:cs="方正仿宋_GBK"/>
          <w:kern w:val="0"/>
          <w:sz w:val="32"/>
          <w:szCs w:val="32"/>
        </w:rPr>
        <w:t>%），“宁科贷”合作银行当年累计为科技中小企业、新型研发机构、海外人才创业企业发放贷款</w:t>
      </w:r>
      <w:r>
        <w:rPr>
          <w:rFonts w:ascii="方正仿宋_GBK" w:eastAsia="方正仿宋_GBK" w:hAnsi="方正仿宋_GBK" w:cs="方正仿宋_GBK" w:hint="eastAsia"/>
          <w:kern w:val="0"/>
          <w:sz w:val="32"/>
          <w:szCs w:val="32"/>
        </w:rPr>
        <w:t>20732</w:t>
      </w:r>
      <w:r>
        <w:rPr>
          <w:rFonts w:ascii="方正仿宋_GBK" w:eastAsia="方正仿宋_GBK" w:hAnsi="方正仿宋_GBK" w:cs="方正仿宋_GBK"/>
          <w:kern w:val="0"/>
          <w:sz w:val="32"/>
          <w:szCs w:val="32"/>
        </w:rPr>
        <w:t>笔，金额</w:t>
      </w:r>
      <w:r>
        <w:rPr>
          <w:rFonts w:ascii="方正仿宋_GBK" w:eastAsia="方正仿宋_GBK" w:hAnsi="方正仿宋_GBK" w:cs="方正仿宋_GBK" w:hint="eastAsia"/>
          <w:kern w:val="0"/>
          <w:sz w:val="32"/>
          <w:szCs w:val="32"/>
        </w:rPr>
        <w:t>439.95</w:t>
      </w:r>
      <w:r>
        <w:rPr>
          <w:rFonts w:ascii="方正仿宋_GBK" w:eastAsia="方正仿宋_GBK" w:hAnsi="方正仿宋_GBK" w:cs="方正仿宋_GBK"/>
          <w:kern w:val="0"/>
          <w:sz w:val="32"/>
          <w:szCs w:val="32"/>
        </w:rPr>
        <w:t>亿元（同比增长</w:t>
      </w:r>
      <w:r>
        <w:rPr>
          <w:rFonts w:ascii="方正仿宋_GBK" w:eastAsia="方正仿宋_GBK" w:hAnsi="方正仿宋_GBK" w:cs="方正仿宋_GBK" w:hint="eastAsia"/>
          <w:kern w:val="0"/>
          <w:sz w:val="32"/>
          <w:szCs w:val="32"/>
        </w:rPr>
        <w:t>83</w:t>
      </w:r>
      <w:r>
        <w:rPr>
          <w:rFonts w:ascii="方正仿宋_GBK" w:eastAsia="方正仿宋_GBK" w:hAnsi="方正仿宋_GBK" w:cs="方正仿宋_GBK"/>
          <w:kern w:val="0"/>
          <w:sz w:val="32"/>
          <w:szCs w:val="32"/>
        </w:rPr>
        <w:t>%）。“宁科贷”系统中科技中小企业、新型研发机构、海外人才创业企业累计入库1</w:t>
      </w:r>
      <w:r>
        <w:rPr>
          <w:rFonts w:ascii="方正仿宋_GBK" w:eastAsia="方正仿宋_GBK" w:hAnsi="方正仿宋_GBK" w:cs="方正仿宋_GBK" w:hint="eastAsia"/>
          <w:kern w:val="0"/>
          <w:sz w:val="32"/>
          <w:szCs w:val="32"/>
        </w:rPr>
        <w:t>1209</w:t>
      </w:r>
      <w:r>
        <w:rPr>
          <w:rFonts w:ascii="方正仿宋_GBK" w:eastAsia="方正仿宋_GBK" w:hAnsi="方正仿宋_GBK" w:cs="方正仿宋_GBK"/>
          <w:kern w:val="0"/>
          <w:sz w:val="32"/>
          <w:szCs w:val="32"/>
        </w:rPr>
        <w:t>家。股权融资“宁科投”也持续发力。截至目前“宁科投”已审核通过211个项目，融资需求合计57.45亿。</w:t>
      </w:r>
      <w:r>
        <w:rPr>
          <w:rFonts w:ascii="方正楷体_GBK" w:eastAsia="方正楷体_GBK" w:hAnsi="方正楷体_GBK" w:cs="方正楷体_GBK"/>
          <w:color w:val="000000" w:themeColor="text1"/>
          <w:sz w:val="32"/>
          <w:szCs w:val="32"/>
        </w:rPr>
        <w:t>二是</w:t>
      </w:r>
      <w:r>
        <w:rPr>
          <w:rFonts w:ascii="方正仿宋_GBK" w:eastAsia="方正仿宋_GBK" w:hAnsi="方正仿宋_GBK" w:cs="方正仿宋_GBK"/>
          <w:kern w:val="0"/>
          <w:sz w:val="32"/>
          <w:szCs w:val="32"/>
        </w:rPr>
        <w:t>充分发挥多元融资效能，为科技型企业融资打出组合拳。协同各类金融机构，与合作银行共同支持科技型企业融资发展。协同市科技局与中国银保监会江苏监管局联合开展科技型中小企业银企融资对接专项行动，走访企业、银行、园区，引导银行向科技型中小企业投放。与人民银行南京分行联动，征集我市26家金融机构面向科技型企业专营产品，一站式服务创新主体。协同高新区做好企业创新积分制银行产品征集，引导科技创新资源、财政优惠政策、金融资源等各</w:t>
      </w:r>
      <w:proofErr w:type="gramStart"/>
      <w:r>
        <w:rPr>
          <w:rFonts w:ascii="方正仿宋_GBK" w:eastAsia="方正仿宋_GBK" w:hAnsi="方正仿宋_GBK" w:cs="方正仿宋_GBK"/>
          <w:kern w:val="0"/>
          <w:sz w:val="32"/>
          <w:szCs w:val="32"/>
        </w:rPr>
        <w:t>类创新</w:t>
      </w:r>
      <w:proofErr w:type="gramEnd"/>
      <w:r>
        <w:rPr>
          <w:rFonts w:ascii="方正仿宋_GBK" w:eastAsia="方正仿宋_GBK" w:hAnsi="方正仿宋_GBK" w:cs="方正仿宋_GBK"/>
          <w:kern w:val="0"/>
          <w:sz w:val="32"/>
          <w:szCs w:val="32"/>
        </w:rPr>
        <w:t>资源向科技企业精准聚集。与兴业银行南京分行联合开展助企</w:t>
      </w:r>
      <w:proofErr w:type="gramStart"/>
      <w:r>
        <w:rPr>
          <w:rFonts w:ascii="方正仿宋_GBK" w:eastAsia="方正仿宋_GBK" w:hAnsi="方正仿宋_GBK" w:cs="方正仿宋_GBK"/>
          <w:kern w:val="0"/>
          <w:sz w:val="32"/>
          <w:szCs w:val="32"/>
        </w:rPr>
        <w:t>纾</w:t>
      </w:r>
      <w:proofErr w:type="gramEnd"/>
      <w:r>
        <w:rPr>
          <w:rFonts w:ascii="方正仿宋_GBK" w:eastAsia="方正仿宋_GBK" w:hAnsi="方正仿宋_GBK" w:cs="方正仿宋_GBK"/>
          <w:kern w:val="0"/>
          <w:sz w:val="32"/>
          <w:szCs w:val="32"/>
        </w:rPr>
        <w:t>困行动，有效对接有新融资需求企业164家，授信企业28户，授</w:t>
      </w:r>
      <w:proofErr w:type="gramStart"/>
      <w:r>
        <w:rPr>
          <w:rFonts w:ascii="方正仿宋_GBK" w:eastAsia="方正仿宋_GBK" w:hAnsi="方正仿宋_GBK" w:cs="方正仿宋_GBK"/>
          <w:kern w:val="0"/>
          <w:sz w:val="32"/>
          <w:szCs w:val="32"/>
        </w:rPr>
        <w:t>信金额</w:t>
      </w:r>
      <w:proofErr w:type="gramEnd"/>
      <w:r>
        <w:rPr>
          <w:rFonts w:ascii="方正仿宋_GBK" w:eastAsia="方正仿宋_GBK" w:hAnsi="方正仿宋_GBK" w:cs="方正仿宋_GBK"/>
          <w:kern w:val="0"/>
          <w:sz w:val="32"/>
          <w:szCs w:val="32"/>
        </w:rPr>
        <w:t>14.13亿，有贷款余额企业25户，贷款余额2.16亿。</w:t>
      </w:r>
      <w:r>
        <w:rPr>
          <w:rFonts w:ascii="方正楷体_GBK" w:eastAsia="方正楷体_GBK" w:hAnsi="方正楷体_GBK" w:cs="方正楷体_GBK"/>
          <w:color w:val="000000" w:themeColor="text1"/>
          <w:sz w:val="32"/>
          <w:szCs w:val="32"/>
        </w:rPr>
        <w:t>三是</w:t>
      </w:r>
      <w:r>
        <w:rPr>
          <w:rFonts w:ascii="方正仿宋_GBK" w:eastAsia="方正仿宋_GBK" w:hAnsi="方正仿宋_GBK" w:cs="方正仿宋_GBK"/>
          <w:kern w:val="0"/>
          <w:sz w:val="32"/>
          <w:szCs w:val="32"/>
        </w:rPr>
        <w:t>承办各类大会及赛事，切实为企业打造一</w:t>
      </w:r>
      <w:r>
        <w:rPr>
          <w:rFonts w:ascii="方正仿宋_GBK" w:eastAsia="方正仿宋_GBK" w:hAnsi="方正仿宋_GBK" w:cs="方正仿宋_GBK"/>
          <w:kern w:val="0"/>
          <w:sz w:val="32"/>
          <w:szCs w:val="32"/>
        </w:rPr>
        <w:lastRenderedPageBreak/>
        <w:t>站式全生命周期融资服务平台。承办科技金融赋能创新创业大会，开展“赢在南京，创业金陵”创新创业大赛组织工作。大赛报名总数770个，有效报名559个</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共36个项目</w:t>
      </w:r>
      <w:proofErr w:type="gramStart"/>
      <w:r>
        <w:rPr>
          <w:rFonts w:ascii="方正仿宋_GBK" w:eastAsia="方正仿宋_GBK" w:hAnsi="方正仿宋_GBK" w:cs="方正仿宋_GBK"/>
          <w:kern w:val="0"/>
          <w:sz w:val="32"/>
          <w:szCs w:val="32"/>
        </w:rPr>
        <w:t>市决赛</w:t>
      </w:r>
      <w:proofErr w:type="gramEnd"/>
      <w:r>
        <w:rPr>
          <w:rFonts w:ascii="方正仿宋_GBK" w:eastAsia="方正仿宋_GBK" w:hAnsi="方正仿宋_GBK" w:cs="方正仿宋_GBK"/>
          <w:kern w:val="0"/>
          <w:sz w:val="32"/>
          <w:szCs w:val="32"/>
        </w:rPr>
        <w:t>获奖</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56个项目代表南京市参加“创业江苏”科技创业大赛。省赛一等奖1个，二等奖3个，三等奖2个。14个项目入围第十一届中国创新创业大赛全国赛。征集各高新区招商引资政策，做好项目与意向区（园区）的桥梁和纽带。</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sz w:val="32"/>
          <w:szCs w:val="32"/>
        </w:rPr>
        <w:t>8</w:t>
      </w:r>
      <w:r>
        <w:rPr>
          <w:rFonts w:ascii="方正楷体_GBK" w:eastAsia="方正楷体_GBK" w:hAnsi="方正楷体_GBK" w:cs="方正楷体_GBK"/>
          <w:sz w:val="32"/>
          <w:szCs w:val="32"/>
        </w:rPr>
        <w:t>.强化孵育能力建设，</w:t>
      </w:r>
      <w:proofErr w:type="gramStart"/>
      <w:r>
        <w:rPr>
          <w:rFonts w:ascii="方正楷体_GBK" w:eastAsia="方正楷体_GBK" w:hAnsi="方正楷体_GBK" w:cs="方正楷体_GBK"/>
          <w:sz w:val="32"/>
          <w:szCs w:val="32"/>
        </w:rPr>
        <w:t>促进科创载体</w:t>
      </w:r>
      <w:proofErr w:type="gramEnd"/>
      <w:r>
        <w:rPr>
          <w:rFonts w:ascii="方正楷体_GBK" w:eastAsia="方正楷体_GBK" w:hAnsi="方正楷体_GBK" w:cs="方正楷体_GBK"/>
          <w:sz w:val="32"/>
          <w:szCs w:val="32"/>
        </w:rPr>
        <w:t>高质量发展</w:t>
      </w:r>
      <w:r>
        <w:rPr>
          <w:rFonts w:ascii="方正楷体_GBK" w:eastAsia="方正楷体_GBK" w:hAnsi="方正楷体_GBK" w:cs="方正楷体_GBK" w:hint="eastAsia"/>
          <w:sz w:val="32"/>
          <w:szCs w:val="32"/>
        </w:rPr>
        <w:t>。</w:t>
      </w:r>
      <w:r>
        <w:rPr>
          <w:rFonts w:ascii="方正楷体_GBK" w:eastAsia="方正楷体_GBK" w:hAnsi="方正楷体_GBK" w:cs="方正楷体_GBK"/>
          <w:sz w:val="32"/>
          <w:szCs w:val="32"/>
        </w:rPr>
        <w:t>一是</w:t>
      </w:r>
      <w:r>
        <w:rPr>
          <w:rFonts w:ascii="方正仿宋_GBK" w:eastAsia="方正仿宋_GBK" w:hAnsi="方正仿宋_GBK" w:cs="方正仿宋_GBK"/>
          <w:kern w:val="0"/>
          <w:sz w:val="32"/>
          <w:szCs w:val="32"/>
        </w:rPr>
        <w:t>注重系统性业务培训。针对资质申报、绩效评价、统计工作等业务领域，突出干货要点，精准</w:t>
      </w:r>
      <w:proofErr w:type="gramStart"/>
      <w:r>
        <w:rPr>
          <w:rFonts w:ascii="方正仿宋_GBK" w:eastAsia="方正仿宋_GBK" w:hAnsi="方正仿宋_GBK" w:cs="方正仿宋_GBK"/>
          <w:kern w:val="0"/>
          <w:sz w:val="32"/>
          <w:szCs w:val="32"/>
        </w:rPr>
        <w:t>服务科创载体</w:t>
      </w:r>
      <w:proofErr w:type="gramEnd"/>
      <w:r>
        <w:rPr>
          <w:rFonts w:ascii="方正仿宋_GBK" w:eastAsia="方正仿宋_GBK" w:hAnsi="方正仿宋_GBK" w:cs="方正仿宋_GBK"/>
          <w:kern w:val="0"/>
          <w:sz w:val="32"/>
          <w:szCs w:val="32"/>
        </w:rPr>
        <w:t>。召开科技企业孵化器、</w:t>
      </w:r>
      <w:proofErr w:type="gramStart"/>
      <w:r>
        <w:rPr>
          <w:rFonts w:ascii="方正仿宋_GBK" w:eastAsia="方正仿宋_GBK" w:hAnsi="方正仿宋_GBK" w:cs="方正仿宋_GBK"/>
          <w:kern w:val="0"/>
          <w:sz w:val="32"/>
          <w:szCs w:val="32"/>
        </w:rPr>
        <w:t>众创空间</w:t>
      </w:r>
      <w:proofErr w:type="gramEnd"/>
      <w:r>
        <w:rPr>
          <w:rFonts w:ascii="方正仿宋_GBK" w:eastAsia="方正仿宋_GBK" w:hAnsi="方正仿宋_GBK" w:cs="方正仿宋_GBK"/>
          <w:kern w:val="0"/>
          <w:sz w:val="32"/>
          <w:szCs w:val="32"/>
        </w:rPr>
        <w:t>、</w:t>
      </w:r>
      <w:proofErr w:type="gramStart"/>
      <w:r>
        <w:rPr>
          <w:rFonts w:ascii="方正仿宋_GBK" w:eastAsia="方正仿宋_GBK" w:hAnsi="方正仿宋_GBK" w:cs="方正仿宋_GBK"/>
          <w:kern w:val="0"/>
          <w:sz w:val="32"/>
          <w:szCs w:val="32"/>
        </w:rPr>
        <w:t>众创社区</w:t>
      </w:r>
      <w:proofErr w:type="gramEnd"/>
      <w:r>
        <w:rPr>
          <w:rFonts w:ascii="方正仿宋_GBK" w:eastAsia="方正仿宋_GBK" w:hAnsi="方正仿宋_GBK" w:cs="方正仿宋_GBK"/>
          <w:kern w:val="0"/>
          <w:sz w:val="32"/>
          <w:szCs w:val="32"/>
        </w:rPr>
        <w:t>统计工作线上培训会，培训载体统计人员及区（园区）相关负责人503人；召开江苏省科技计划专项资金项目（创新支撑计划科技型创业企业孵育）申报培训会，强化申报辅导，</w:t>
      </w:r>
      <w:proofErr w:type="gramStart"/>
      <w:r>
        <w:rPr>
          <w:rFonts w:ascii="方正仿宋_GBK" w:eastAsia="方正仿宋_GBK" w:hAnsi="方正仿宋_GBK" w:cs="方正仿宋_GBK"/>
          <w:kern w:val="0"/>
          <w:sz w:val="32"/>
          <w:szCs w:val="32"/>
        </w:rPr>
        <w:t>5家众创社区</w:t>
      </w:r>
      <w:proofErr w:type="gramEnd"/>
      <w:r>
        <w:rPr>
          <w:rFonts w:ascii="方正仿宋_GBK" w:eastAsia="方正仿宋_GBK" w:hAnsi="方正仿宋_GBK" w:cs="方正仿宋_GBK"/>
          <w:kern w:val="0"/>
          <w:sz w:val="32"/>
          <w:szCs w:val="32"/>
        </w:rPr>
        <w:t>（含</w:t>
      </w:r>
      <w:proofErr w:type="gramStart"/>
      <w:r>
        <w:rPr>
          <w:rFonts w:ascii="方正仿宋_GBK" w:eastAsia="方正仿宋_GBK" w:hAnsi="方正仿宋_GBK" w:cs="方正仿宋_GBK"/>
          <w:kern w:val="0"/>
          <w:sz w:val="32"/>
          <w:szCs w:val="32"/>
        </w:rPr>
        <w:t>62家科创载体</w:t>
      </w:r>
      <w:proofErr w:type="gramEnd"/>
      <w:r>
        <w:rPr>
          <w:rFonts w:ascii="方正仿宋_GBK" w:eastAsia="方正仿宋_GBK" w:hAnsi="方正仿宋_GBK" w:cs="方正仿宋_GBK"/>
          <w:kern w:val="0"/>
          <w:sz w:val="32"/>
          <w:szCs w:val="32"/>
        </w:rPr>
        <w:t>）获得项目立项；召开省科技企业孵化器、</w:t>
      </w:r>
      <w:proofErr w:type="gramStart"/>
      <w:r>
        <w:rPr>
          <w:rFonts w:ascii="方正仿宋_GBK" w:eastAsia="方正仿宋_GBK" w:hAnsi="方正仿宋_GBK" w:cs="方正仿宋_GBK"/>
          <w:kern w:val="0"/>
          <w:sz w:val="32"/>
          <w:szCs w:val="32"/>
        </w:rPr>
        <w:t>众创空间申报线</w:t>
      </w:r>
      <w:proofErr w:type="gramEnd"/>
      <w:r>
        <w:rPr>
          <w:rFonts w:ascii="方正仿宋_GBK" w:eastAsia="方正仿宋_GBK" w:hAnsi="方正仿宋_GBK" w:cs="方正仿宋_GBK"/>
          <w:kern w:val="0"/>
          <w:sz w:val="32"/>
          <w:szCs w:val="32"/>
        </w:rPr>
        <w:t>上培训会，辅导45家孵化器和</w:t>
      </w:r>
      <w:proofErr w:type="gramStart"/>
      <w:r>
        <w:rPr>
          <w:rFonts w:ascii="方正仿宋_GBK" w:eastAsia="方正仿宋_GBK" w:hAnsi="方正仿宋_GBK" w:cs="方正仿宋_GBK"/>
          <w:kern w:val="0"/>
          <w:sz w:val="32"/>
          <w:szCs w:val="32"/>
        </w:rPr>
        <w:t>56家众创空间</w:t>
      </w:r>
      <w:proofErr w:type="gramEnd"/>
      <w:r>
        <w:rPr>
          <w:rFonts w:ascii="方正仿宋_GBK" w:eastAsia="方正仿宋_GBK" w:hAnsi="方正仿宋_GBK" w:cs="方正仿宋_GBK"/>
          <w:kern w:val="0"/>
          <w:sz w:val="32"/>
          <w:szCs w:val="32"/>
        </w:rPr>
        <w:t>。与</w:t>
      </w:r>
      <w:proofErr w:type="gramStart"/>
      <w:r>
        <w:rPr>
          <w:rFonts w:ascii="方正仿宋_GBK" w:eastAsia="方正仿宋_GBK" w:hAnsi="方正仿宋_GBK" w:cs="方正仿宋_GBK"/>
          <w:kern w:val="0"/>
          <w:sz w:val="32"/>
          <w:szCs w:val="32"/>
        </w:rPr>
        <w:t>省创业</w:t>
      </w:r>
      <w:proofErr w:type="gramEnd"/>
      <w:r>
        <w:rPr>
          <w:rFonts w:ascii="方正仿宋_GBK" w:eastAsia="方正仿宋_GBK" w:hAnsi="方正仿宋_GBK" w:cs="方正仿宋_GBK"/>
          <w:kern w:val="0"/>
          <w:sz w:val="32"/>
          <w:szCs w:val="32"/>
        </w:rPr>
        <w:t>中心联合举办第32期创业孵化从业人员培训班南京专场，培训学员96名；开展第39期、40期创业孵化从业人员培训报名工作，组织82人参加培训；组织17人参加省第四期创业辅导师培训。策划“科技服务进孵化器”行动</w:t>
      </w:r>
      <w:r>
        <w:rPr>
          <w:rFonts w:ascii="方正仿宋_GBK" w:eastAsia="方正仿宋_GBK" w:hAnsi="方正仿宋_GBK" w:cs="方正仿宋_GBK" w:hint="eastAsia"/>
          <w:kern w:val="0"/>
          <w:sz w:val="32"/>
          <w:szCs w:val="32"/>
        </w:rPr>
        <w:t>，全年共</w:t>
      </w:r>
      <w:r>
        <w:rPr>
          <w:rFonts w:ascii="方正仿宋_GBK" w:eastAsia="方正仿宋_GBK" w:hAnsi="方正仿宋_GBK" w:cs="方正仿宋_GBK"/>
          <w:kern w:val="0"/>
          <w:sz w:val="32"/>
          <w:szCs w:val="32"/>
        </w:rPr>
        <w:t>开展5场活动</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kern w:val="0"/>
          <w:sz w:val="32"/>
          <w:szCs w:val="32"/>
        </w:rPr>
        <w:t>分别赴江宁开发区、中国（南京）软件谷、建</w:t>
      </w:r>
      <w:proofErr w:type="gramStart"/>
      <w:r>
        <w:rPr>
          <w:rFonts w:ascii="方正仿宋_GBK" w:eastAsia="方正仿宋_GBK" w:hAnsi="方正仿宋_GBK" w:cs="方正仿宋_GBK"/>
          <w:kern w:val="0"/>
          <w:sz w:val="32"/>
          <w:szCs w:val="32"/>
        </w:rPr>
        <w:t>邺</w:t>
      </w:r>
      <w:proofErr w:type="gramEnd"/>
      <w:r>
        <w:rPr>
          <w:rFonts w:ascii="方正仿宋_GBK" w:eastAsia="方正仿宋_GBK" w:hAnsi="方正仿宋_GBK" w:cs="方正仿宋_GBK"/>
          <w:kern w:val="0"/>
          <w:sz w:val="32"/>
          <w:szCs w:val="32"/>
        </w:rPr>
        <w:t>区科技生态岛等就</w:t>
      </w:r>
      <w:r>
        <w:rPr>
          <w:rFonts w:ascii="方正仿宋_GBK" w:eastAsia="方正仿宋_GBK" w:hAnsi="方正仿宋_GBK" w:cs="方正仿宋_GBK" w:hint="eastAsia"/>
          <w:kern w:val="0"/>
          <w:sz w:val="32"/>
          <w:szCs w:val="32"/>
        </w:rPr>
        <w:t>科技</w:t>
      </w:r>
      <w:r>
        <w:rPr>
          <w:rFonts w:ascii="方正仿宋_GBK" w:eastAsia="方正仿宋_GBK" w:hAnsi="方正仿宋_GBK" w:cs="方正仿宋_GBK"/>
          <w:kern w:val="0"/>
          <w:sz w:val="32"/>
          <w:szCs w:val="32"/>
        </w:rPr>
        <w:t>政策、“宁企通”平台使用、科技企业孵化器（</w:t>
      </w:r>
      <w:proofErr w:type="gramStart"/>
      <w:r>
        <w:rPr>
          <w:rFonts w:ascii="方正仿宋_GBK" w:eastAsia="方正仿宋_GBK" w:hAnsi="方正仿宋_GBK" w:cs="方正仿宋_GBK"/>
          <w:kern w:val="0"/>
          <w:sz w:val="32"/>
          <w:szCs w:val="32"/>
        </w:rPr>
        <w:t>众创空间</w:t>
      </w:r>
      <w:proofErr w:type="gramEnd"/>
      <w:r>
        <w:rPr>
          <w:rFonts w:ascii="方正仿宋_GBK" w:eastAsia="方正仿宋_GBK" w:hAnsi="方正仿宋_GBK" w:cs="方正仿宋_GBK"/>
          <w:kern w:val="0"/>
          <w:sz w:val="32"/>
          <w:szCs w:val="32"/>
        </w:rPr>
        <w:t>）申报、绩效评价、统计等工作开展宣讲及一对一答疑，服务载体共76家。</w:t>
      </w:r>
      <w:r>
        <w:rPr>
          <w:rFonts w:ascii="方正楷体_GBK" w:eastAsia="方正楷体_GBK" w:hAnsi="方正楷体_GBK" w:cs="方正楷体_GBK"/>
          <w:sz w:val="32"/>
          <w:szCs w:val="32"/>
        </w:rPr>
        <w:t>二是</w:t>
      </w:r>
      <w:r>
        <w:rPr>
          <w:rFonts w:ascii="方正仿宋_GBK" w:eastAsia="方正仿宋_GBK" w:hAnsi="方正仿宋_GBK" w:cs="方正仿宋_GBK"/>
          <w:kern w:val="0"/>
          <w:sz w:val="32"/>
          <w:szCs w:val="32"/>
        </w:rPr>
        <w:t>推动载体提档升级。围绕科技创新创业载体高质量发展要求，大力推进孵化能力建设，引导载体提质增效。组织9家市级科技企业孵化器、35家</w:t>
      </w:r>
      <w:proofErr w:type="gramStart"/>
      <w:r>
        <w:rPr>
          <w:rFonts w:ascii="方正仿宋_GBK" w:eastAsia="方正仿宋_GBK" w:hAnsi="方正仿宋_GBK" w:cs="方正仿宋_GBK"/>
          <w:kern w:val="0"/>
          <w:sz w:val="32"/>
          <w:szCs w:val="32"/>
        </w:rPr>
        <w:t>众创空间</w:t>
      </w:r>
      <w:proofErr w:type="gramEnd"/>
      <w:r>
        <w:rPr>
          <w:rFonts w:ascii="方正仿宋_GBK" w:eastAsia="方正仿宋_GBK" w:hAnsi="方正仿宋_GBK" w:cs="方正仿宋_GBK"/>
          <w:kern w:val="0"/>
          <w:sz w:val="32"/>
          <w:szCs w:val="32"/>
        </w:rPr>
        <w:t>申报省级资质，</w:t>
      </w:r>
      <w:r>
        <w:rPr>
          <w:rFonts w:ascii="方正仿宋_GBK" w:eastAsia="方正仿宋_GBK" w:hAnsi="方正仿宋_GBK" w:cs="方正仿宋_GBK" w:hint="eastAsia"/>
          <w:kern w:val="0"/>
          <w:sz w:val="32"/>
          <w:szCs w:val="32"/>
        </w:rPr>
        <w:t>开</w:t>
      </w:r>
      <w:r>
        <w:rPr>
          <w:rFonts w:ascii="方正仿宋_GBK" w:eastAsia="方正仿宋_GBK" w:hAnsi="方正仿宋_GBK" w:cs="方正仿宋_GBK" w:hint="eastAsia"/>
          <w:kern w:val="0"/>
          <w:sz w:val="32"/>
          <w:szCs w:val="32"/>
        </w:rPr>
        <w:lastRenderedPageBreak/>
        <w:t>展形式审查与专家对接的全流程服务</w:t>
      </w:r>
      <w:r>
        <w:rPr>
          <w:rFonts w:ascii="方正仿宋_GBK" w:eastAsia="方正仿宋_GBK" w:hAnsi="方正仿宋_GBK" w:cs="方正仿宋_GBK"/>
          <w:kern w:val="0"/>
          <w:sz w:val="32"/>
          <w:szCs w:val="32"/>
        </w:rPr>
        <w:t>。开展</w:t>
      </w:r>
      <w:proofErr w:type="gramStart"/>
      <w:r>
        <w:rPr>
          <w:rFonts w:ascii="方正仿宋_GBK" w:eastAsia="方正仿宋_GBK" w:hAnsi="方正仿宋_GBK" w:cs="方正仿宋_GBK"/>
          <w:kern w:val="0"/>
          <w:sz w:val="32"/>
          <w:szCs w:val="32"/>
        </w:rPr>
        <w:t>市级科创载体</w:t>
      </w:r>
      <w:proofErr w:type="gramEnd"/>
      <w:r>
        <w:rPr>
          <w:rFonts w:ascii="方正仿宋_GBK" w:eastAsia="方正仿宋_GBK" w:hAnsi="方正仿宋_GBK" w:cs="方正仿宋_GBK"/>
          <w:kern w:val="0"/>
          <w:sz w:val="32"/>
          <w:szCs w:val="32"/>
        </w:rPr>
        <w:t>申报，</w:t>
      </w:r>
      <w:r>
        <w:rPr>
          <w:rFonts w:ascii="方正仿宋_GBK" w:eastAsia="方正仿宋_GBK" w:hAnsi="方正仿宋_GBK" w:cs="方正仿宋_GBK" w:hint="eastAsia"/>
          <w:kern w:val="0"/>
          <w:sz w:val="32"/>
          <w:szCs w:val="32"/>
        </w:rPr>
        <w:t>其中16家孵化器、50家</w:t>
      </w:r>
      <w:proofErr w:type="gramStart"/>
      <w:r>
        <w:rPr>
          <w:rFonts w:ascii="方正仿宋_GBK" w:eastAsia="方正仿宋_GBK" w:hAnsi="方正仿宋_GBK" w:cs="方正仿宋_GBK" w:hint="eastAsia"/>
          <w:kern w:val="0"/>
          <w:sz w:val="32"/>
          <w:szCs w:val="32"/>
        </w:rPr>
        <w:t>众创空间获</w:t>
      </w:r>
      <w:proofErr w:type="gramEnd"/>
      <w:r>
        <w:rPr>
          <w:rFonts w:ascii="方正仿宋_GBK" w:eastAsia="方正仿宋_GBK" w:hAnsi="方正仿宋_GBK" w:cs="方正仿宋_GBK" w:hint="eastAsia"/>
          <w:kern w:val="0"/>
          <w:sz w:val="32"/>
          <w:szCs w:val="32"/>
        </w:rPr>
        <w:t>市级认定（备案）</w:t>
      </w:r>
      <w:r>
        <w:rPr>
          <w:rFonts w:ascii="方正仿宋_GBK" w:eastAsia="方正仿宋_GBK" w:hAnsi="方正仿宋_GBK" w:cs="方正仿宋_GBK"/>
          <w:kern w:val="0"/>
          <w:sz w:val="32"/>
          <w:szCs w:val="32"/>
        </w:rPr>
        <w:t>。</w:t>
      </w:r>
      <w:r>
        <w:rPr>
          <w:rFonts w:ascii="方正楷体_GBK" w:eastAsia="方正楷体_GBK" w:hAnsi="方正楷体_GBK" w:cs="方正楷体_GBK"/>
          <w:sz w:val="32"/>
          <w:szCs w:val="32"/>
        </w:rPr>
        <w:t>三是</w:t>
      </w:r>
      <w:r>
        <w:rPr>
          <w:rFonts w:ascii="方正仿宋_GBK" w:eastAsia="方正仿宋_GBK" w:hAnsi="方正仿宋_GBK" w:cs="方正仿宋_GBK"/>
          <w:kern w:val="0"/>
          <w:sz w:val="32"/>
          <w:szCs w:val="32"/>
        </w:rPr>
        <w:t>彰显绩效评价成效。全年共组织41家载体参加国家级科技企业孵化器绩效评价</w:t>
      </w:r>
      <w:r>
        <w:rPr>
          <w:rFonts w:ascii="方正仿宋_GBK" w:eastAsia="方正仿宋_GBK" w:hAnsi="方正仿宋_GBK" w:cs="方正仿宋_GBK" w:hint="eastAsia"/>
          <w:kern w:val="0"/>
          <w:sz w:val="32"/>
          <w:szCs w:val="32"/>
        </w:rPr>
        <w:t>，获评优秀31家、良好9家，获得优秀的载体数量居全国第一</w:t>
      </w:r>
      <w:r>
        <w:rPr>
          <w:rFonts w:ascii="方正仿宋_GBK" w:eastAsia="方正仿宋_GBK" w:hAnsi="方正仿宋_GBK" w:cs="方正仿宋_GBK"/>
          <w:kern w:val="0"/>
          <w:sz w:val="32"/>
          <w:szCs w:val="32"/>
        </w:rPr>
        <w:t>；组织106家载体参加</w:t>
      </w:r>
      <w:r>
        <w:rPr>
          <w:rFonts w:ascii="方正仿宋_GBK" w:eastAsia="方正仿宋_GBK" w:hAnsi="方正仿宋_GBK" w:cs="方正仿宋_GBK" w:hint="eastAsia"/>
          <w:kern w:val="0"/>
          <w:sz w:val="32"/>
          <w:szCs w:val="32"/>
        </w:rPr>
        <w:t>2021年度</w:t>
      </w:r>
      <w:r>
        <w:rPr>
          <w:rFonts w:ascii="方正仿宋_GBK" w:eastAsia="方正仿宋_GBK" w:hAnsi="方正仿宋_GBK" w:cs="方正仿宋_GBK"/>
          <w:kern w:val="0"/>
          <w:sz w:val="32"/>
          <w:szCs w:val="32"/>
        </w:rPr>
        <w:t>省级科技企业孵化器绩效评价，获评优秀52家、良好42家，获得优秀的载体数量和优秀率居全省第一；组织95家载体参加</w:t>
      </w:r>
      <w:r>
        <w:rPr>
          <w:rFonts w:ascii="方正仿宋_GBK" w:eastAsia="方正仿宋_GBK" w:hAnsi="方正仿宋_GBK" w:cs="方正仿宋_GBK" w:hint="eastAsia"/>
          <w:kern w:val="0"/>
          <w:sz w:val="32"/>
          <w:szCs w:val="32"/>
        </w:rPr>
        <w:t>2021年度</w:t>
      </w:r>
      <w:r>
        <w:rPr>
          <w:rFonts w:ascii="方正仿宋_GBK" w:eastAsia="方正仿宋_GBK" w:hAnsi="方正仿宋_GBK" w:cs="方正仿宋_GBK"/>
          <w:kern w:val="0"/>
          <w:sz w:val="32"/>
          <w:szCs w:val="32"/>
        </w:rPr>
        <w:t>市级科技企业孵化器绩效评价，获评优秀14家、良好23家；组织289家</w:t>
      </w:r>
      <w:proofErr w:type="gramStart"/>
      <w:r>
        <w:rPr>
          <w:rFonts w:ascii="方正仿宋_GBK" w:eastAsia="方正仿宋_GBK" w:hAnsi="方正仿宋_GBK" w:cs="方正仿宋_GBK"/>
          <w:kern w:val="0"/>
          <w:sz w:val="32"/>
          <w:szCs w:val="32"/>
        </w:rPr>
        <w:t>众创空间</w:t>
      </w:r>
      <w:proofErr w:type="gramEnd"/>
      <w:r>
        <w:rPr>
          <w:rFonts w:ascii="方正仿宋_GBK" w:eastAsia="方正仿宋_GBK" w:hAnsi="方正仿宋_GBK" w:cs="方正仿宋_GBK"/>
          <w:kern w:val="0"/>
          <w:sz w:val="32"/>
          <w:szCs w:val="32"/>
        </w:rPr>
        <w:t>参加市级备案</w:t>
      </w:r>
      <w:proofErr w:type="gramStart"/>
      <w:r>
        <w:rPr>
          <w:rFonts w:ascii="方正仿宋_GBK" w:eastAsia="方正仿宋_GBK" w:hAnsi="方正仿宋_GBK" w:cs="方正仿宋_GBK"/>
          <w:kern w:val="0"/>
          <w:sz w:val="32"/>
          <w:szCs w:val="32"/>
        </w:rPr>
        <w:t>众创空间</w:t>
      </w:r>
      <w:proofErr w:type="gramEnd"/>
      <w:r>
        <w:rPr>
          <w:rFonts w:ascii="方正仿宋_GBK" w:eastAsia="方正仿宋_GBK" w:hAnsi="方正仿宋_GBK" w:cs="方正仿宋_GBK"/>
          <w:kern w:val="0"/>
          <w:sz w:val="32"/>
          <w:szCs w:val="32"/>
        </w:rPr>
        <w:t>绩效评价，获评优秀43家、良好71家。</w:t>
      </w:r>
    </w:p>
    <w:p w:rsidR="00EB0E0C" w:rsidRDefault="002F5CDE">
      <w:pPr>
        <w:spacing w:line="54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9</w:t>
      </w:r>
      <w:r>
        <w:rPr>
          <w:rFonts w:ascii="方正楷体_GBK" w:eastAsia="方正楷体_GBK" w:hAnsi="方正楷体_GBK" w:cs="方正楷体_GBK"/>
          <w:sz w:val="32"/>
          <w:szCs w:val="32"/>
        </w:rPr>
        <w:t>.主动服务科技创新平台建设。</w:t>
      </w:r>
      <w:r>
        <w:rPr>
          <w:rFonts w:ascii="方正仿宋_GBK" w:eastAsia="方正仿宋_GBK" w:hAnsi="方正仿宋_GBK" w:cs="方正仿宋_GBK"/>
          <w:kern w:val="0"/>
          <w:sz w:val="32"/>
          <w:szCs w:val="32"/>
        </w:rPr>
        <w:t>一是全流程服务企业研发机构。做好各</w:t>
      </w:r>
      <w:proofErr w:type="gramStart"/>
      <w:r>
        <w:rPr>
          <w:rFonts w:ascii="方正仿宋_GBK" w:eastAsia="方正仿宋_GBK" w:hAnsi="方正仿宋_GBK" w:cs="方正仿宋_GBK"/>
          <w:kern w:val="0"/>
          <w:sz w:val="32"/>
          <w:szCs w:val="32"/>
        </w:rPr>
        <w:t>机构育库入库</w:t>
      </w:r>
      <w:proofErr w:type="gramEnd"/>
      <w:r>
        <w:rPr>
          <w:rFonts w:ascii="方正仿宋_GBK" w:eastAsia="方正仿宋_GBK" w:hAnsi="方正仿宋_GBK" w:cs="方正仿宋_GBK"/>
          <w:kern w:val="0"/>
          <w:sz w:val="32"/>
          <w:szCs w:val="32"/>
        </w:rPr>
        <w:t>、申报、评审、验收、绩效考评等各项工作，全年服务机构534家。二是服务科技公共服务平台。做好各平台绩效考评、验收、整改等相关工作，全年服务平台41家。三是服务各类实验室。参与制定在宁国重重组、新建长期工作推进协调机制，梳理各家信息，整理“一室</w:t>
      </w:r>
      <w:proofErr w:type="gramStart"/>
      <w:r>
        <w:rPr>
          <w:rFonts w:ascii="方正仿宋_GBK" w:eastAsia="方正仿宋_GBK" w:hAnsi="方正仿宋_GBK" w:cs="方正仿宋_GBK"/>
          <w:kern w:val="0"/>
          <w:sz w:val="32"/>
          <w:szCs w:val="32"/>
        </w:rPr>
        <w:t>一</w:t>
      </w:r>
      <w:proofErr w:type="gramEnd"/>
      <w:r>
        <w:rPr>
          <w:rFonts w:ascii="方正仿宋_GBK" w:eastAsia="方正仿宋_GBK" w:hAnsi="方正仿宋_GBK" w:cs="方正仿宋_GBK"/>
          <w:kern w:val="0"/>
          <w:sz w:val="32"/>
          <w:szCs w:val="32"/>
        </w:rPr>
        <w:t>策”实施方案，协助召开相关培训会，定期跟踪进度，参与调研5次涉13家；对在宁省级重点实验室开展摸底调研；根据企业研发机构建设情况，推荐18家机构拟纳入市级重点实验室管理；做好各人才定制实验室绩效考评工作。全年</w:t>
      </w:r>
      <w:proofErr w:type="gramStart"/>
      <w:r>
        <w:rPr>
          <w:rFonts w:ascii="方正仿宋_GBK" w:eastAsia="方正仿宋_GBK" w:hAnsi="方正仿宋_GBK" w:cs="方正仿宋_GBK"/>
          <w:kern w:val="0"/>
          <w:sz w:val="32"/>
          <w:szCs w:val="32"/>
        </w:rPr>
        <w:t>共服务</w:t>
      </w:r>
      <w:proofErr w:type="gramEnd"/>
      <w:r>
        <w:rPr>
          <w:rFonts w:ascii="方正仿宋_GBK" w:eastAsia="方正仿宋_GBK" w:hAnsi="方正仿宋_GBK" w:cs="方正仿宋_GBK"/>
          <w:kern w:val="0"/>
          <w:sz w:val="32"/>
          <w:szCs w:val="32"/>
        </w:rPr>
        <w:t>各类实验室117家。四是开展创新</w:t>
      </w:r>
      <w:proofErr w:type="gramStart"/>
      <w:r>
        <w:rPr>
          <w:rFonts w:ascii="方正仿宋_GBK" w:eastAsia="方正仿宋_GBK" w:hAnsi="方正仿宋_GBK" w:cs="方正仿宋_GBK"/>
          <w:kern w:val="0"/>
          <w:sz w:val="32"/>
          <w:szCs w:val="32"/>
        </w:rPr>
        <w:t>劵</w:t>
      </w:r>
      <w:proofErr w:type="gramEnd"/>
      <w:r>
        <w:rPr>
          <w:rFonts w:ascii="方正仿宋_GBK" w:eastAsia="方正仿宋_GBK" w:hAnsi="方正仿宋_GBK" w:cs="方正仿宋_GBK"/>
          <w:kern w:val="0"/>
          <w:sz w:val="32"/>
          <w:szCs w:val="32"/>
        </w:rPr>
        <w:t>相关服务工作。在省科技资源统筹云平台审核服务机构、审核创新</w:t>
      </w:r>
      <w:proofErr w:type="gramStart"/>
      <w:r>
        <w:rPr>
          <w:rFonts w:ascii="方正仿宋_GBK" w:eastAsia="方正仿宋_GBK" w:hAnsi="方正仿宋_GBK" w:cs="方正仿宋_GBK"/>
          <w:kern w:val="0"/>
          <w:sz w:val="32"/>
          <w:szCs w:val="32"/>
        </w:rPr>
        <w:t>券</w:t>
      </w:r>
      <w:proofErr w:type="gramEnd"/>
      <w:r>
        <w:rPr>
          <w:rFonts w:ascii="方正仿宋_GBK" w:eastAsia="方正仿宋_GBK" w:hAnsi="方正仿宋_GBK" w:cs="方正仿宋_GBK"/>
          <w:kern w:val="0"/>
          <w:sz w:val="32"/>
          <w:szCs w:val="32"/>
        </w:rPr>
        <w:t>申领企业。南京市预兑付创新</w:t>
      </w:r>
      <w:proofErr w:type="gramStart"/>
      <w:r>
        <w:rPr>
          <w:rFonts w:ascii="方正仿宋_GBK" w:eastAsia="方正仿宋_GBK" w:hAnsi="方正仿宋_GBK" w:cs="方正仿宋_GBK"/>
          <w:kern w:val="0"/>
          <w:sz w:val="32"/>
          <w:szCs w:val="32"/>
        </w:rPr>
        <w:t>券</w:t>
      </w:r>
      <w:proofErr w:type="gramEnd"/>
      <w:r>
        <w:rPr>
          <w:rFonts w:ascii="方正仿宋_GBK" w:eastAsia="方正仿宋_GBK" w:hAnsi="方正仿宋_GBK" w:cs="方正仿宋_GBK"/>
          <w:kern w:val="0"/>
          <w:sz w:val="32"/>
          <w:szCs w:val="32"/>
        </w:rPr>
        <w:t>补贴共计252.14万元。全年</w:t>
      </w:r>
      <w:proofErr w:type="gramStart"/>
      <w:r>
        <w:rPr>
          <w:rFonts w:ascii="方正仿宋_GBK" w:eastAsia="方正仿宋_GBK" w:hAnsi="方正仿宋_GBK" w:cs="方正仿宋_GBK"/>
          <w:kern w:val="0"/>
          <w:sz w:val="32"/>
          <w:szCs w:val="32"/>
        </w:rPr>
        <w:t>共服务</w:t>
      </w:r>
      <w:proofErr w:type="gramEnd"/>
      <w:r>
        <w:rPr>
          <w:rFonts w:ascii="方正仿宋_GBK" w:eastAsia="方正仿宋_GBK" w:hAnsi="方正仿宋_GBK" w:cs="方正仿宋_GBK"/>
          <w:kern w:val="0"/>
          <w:sz w:val="32"/>
          <w:szCs w:val="32"/>
        </w:rPr>
        <w:t>1051家企业。五是推进长三角（南京都市圈）科技合作。拟定项目全流程管理办法，规范调研内容及项目运营事项。协调市科技局、市信息所参与机构组织的10场活动、28家企业调研。联合11家第三家机构开展各项工作，组织召开各类供需侧对接会、企</w:t>
      </w:r>
      <w:r>
        <w:rPr>
          <w:rFonts w:ascii="方正仿宋_GBK" w:eastAsia="方正仿宋_GBK" w:hAnsi="方正仿宋_GBK" w:cs="方正仿宋_GBK"/>
          <w:kern w:val="0"/>
          <w:sz w:val="32"/>
          <w:szCs w:val="32"/>
        </w:rPr>
        <w:lastRenderedPageBreak/>
        <w:t>业培训会、</w:t>
      </w:r>
      <w:proofErr w:type="gramStart"/>
      <w:r>
        <w:rPr>
          <w:rFonts w:ascii="方正仿宋_GBK" w:eastAsia="方正仿宋_GBK" w:hAnsi="方正仿宋_GBK" w:cs="方正仿宋_GBK"/>
          <w:kern w:val="0"/>
          <w:sz w:val="32"/>
          <w:szCs w:val="32"/>
        </w:rPr>
        <w:t>融资路</w:t>
      </w:r>
      <w:proofErr w:type="gramEnd"/>
      <w:r>
        <w:rPr>
          <w:rFonts w:ascii="方正仿宋_GBK" w:eastAsia="方正仿宋_GBK" w:hAnsi="方正仿宋_GBK" w:cs="方正仿宋_GBK"/>
          <w:kern w:val="0"/>
          <w:sz w:val="32"/>
          <w:szCs w:val="32"/>
        </w:rPr>
        <w:t>演等活动73场，惠及企业7000余家，辐射15个城市；初步建成区域“临床研究一网通”服务数字化平台，帮助企业融资2.73亿元；3家企业</w:t>
      </w:r>
      <w:proofErr w:type="gramStart"/>
      <w:r>
        <w:rPr>
          <w:rFonts w:ascii="方正仿宋_GBK" w:eastAsia="方正仿宋_GBK" w:hAnsi="方正仿宋_GBK" w:cs="方正仿宋_GBK"/>
          <w:kern w:val="0"/>
          <w:sz w:val="32"/>
          <w:szCs w:val="32"/>
        </w:rPr>
        <w:t>经机构</w:t>
      </w:r>
      <w:proofErr w:type="gramEnd"/>
      <w:r>
        <w:rPr>
          <w:rFonts w:ascii="方正仿宋_GBK" w:eastAsia="方正仿宋_GBK" w:hAnsi="方正仿宋_GBK" w:cs="方正仿宋_GBK"/>
          <w:kern w:val="0"/>
          <w:sz w:val="32"/>
          <w:szCs w:val="32"/>
        </w:rPr>
        <w:t>推荐，已</w:t>
      </w:r>
      <w:proofErr w:type="gramStart"/>
      <w:r>
        <w:rPr>
          <w:rFonts w:ascii="方正仿宋_GBK" w:eastAsia="方正仿宋_GBK" w:hAnsi="方正仿宋_GBK" w:cs="方正仿宋_GBK"/>
          <w:kern w:val="0"/>
          <w:sz w:val="32"/>
          <w:szCs w:val="32"/>
        </w:rPr>
        <w:t>落户宁淮智能</w:t>
      </w:r>
      <w:proofErr w:type="gramEnd"/>
      <w:r>
        <w:rPr>
          <w:rFonts w:ascii="方正仿宋_GBK" w:eastAsia="方正仿宋_GBK" w:hAnsi="方正仿宋_GBK" w:cs="方正仿宋_GBK"/>
          <w:kern w:val="0"/>
          <w:sz w:val="32"/>
          <w:szCs w:val="32"/>
        </w:rPr>
        <w:t>制造产业园等科技园区。</w:t>
      </w:r>
    </w:p>
    <w:p w:rsidR="00EB0E0C" w:rsidRDefault="002F5CDE">
      <w:pPr>
        <w:spacing w:line="54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10.建立防范体系，确保安全生产。</w:t>
      </w:r>
      <w:r>
        <w:rPr>
          <w:rFonts w:ascii="方正仿宋_GBK" w:eastAsia="方正仿宋_GBK" w:hAnsi="方正仿宋_GBK" w:cs="方正仿宋_GBK"/>
          <w:kern w:val="0"/>
          <w:sz w:val="32"/>
          <w:szCs w:val="32"/>
        </w:rPr>
        <w:t>坚持“安全第一、预防为主、综合治理”指导方针，主要领导亲自抓，分管领导具体抓，实现全年无安全责任事故。落实安全保卫工作责任制。加强节假日防风险、除隐患、保安全工作要求，开展自查走访，检查办公室内大功率电器使用情况，提醒大家做到电源每日随走随关。及时完成中心消防器材更新。以开展“安全生产月”及“全国消防安全日”</w:t>
      </w:r>
      <w:r>
        <w:rPr>
          <w:rFonts w:ascii="方正仿宋_GBK" w:eastAsia="方正仿宋_GBK" w:hAnsi="方正仿宋_GBK" w:cs="方正仿宋_GBK" w:hint="eastAsia"/>
          <w:kern w:val="0"/>
          <w:sz w:val="32"/>
          <w:szCs w:val="32"/>
        </w:rPr>
        <w:t>为</w:t>
      </w:r>
      <w:r>
        <w:rPr>
          <w:rFonts w:ascii="方正仿宋_GBK" w:eastAsia="方正仿宋_GBK" w:hAnsi="方正仿宋_GBK" w:cs="方正仿宋_GBK"/>
          <w:kern w:val="0"/>
          <w:sz w:val="32"/>
          <w:szCs w:val="32"/>
        </w:rPr>
        <w:t>抓手，组织消防安全知识培训，开展紧急疏散、灭火处置、急救互救演练。实行二十四小时值班制度，要害部位实施夜间值班巡逻。将平时工作与重大活动、节假日专项工作紧密结合，确保全年工作无死角推进。根据市消防安全委员会“关于印发冬春火灾防控工作通知”要求，制定工作措施，及时开展巡查工作，把工作落实到位。</w:t>
      </w:r>
    </w:p>
    <w:p w:rsidR="00EB0E0C" w:rsidRDefault="002F5CDE">
      <w:pPr>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11.不断提升单位管理效能。</w:t>
      </w:r>
      <w:r>
        <w:rPr>
          <w:rFonts w:ascii="方正仿宋_GBK" w:eastAsia="方正仿宋_GBK" w:hAnsi="方正仿宋_GBK" w:cs="方正仿宋_GBK"/>
          <w:kern w:val="0"/>
          <w:sz w:val="32"/>
          <w:szCs w:val="32"/>
        </w:rPr>
        <w:t>开展内部控制评价及风险评估，编制内部控制手册，进一步完善中心内部控制组织架构，规范业务活动流程。根据风险评估和自我评价结果，进一步完善内部控制管理制度，整理业务关键岗位、工作流程、主要控制环节和表单，编制中心内部控制手册。以制度建设推动中心规范管理，切实完善中心各项管理规章制度。全年共修改制定《档案管理制度》、《安全生产管理制度》、《货币资金管理办法》等12个规章制度，并汇编成册。组织开展各类规章制度的内部培训学习，推进制度</w:t>
      </w:r>
      <w:r>
        <w:rPr>
          <w:rFonts w:ascii="方正仿宋_GBK" w:eastAsia="方正仿宋_GBK" w:hAnsi="方正仿宋_GBK" w:cs="方正仿宋_GBK"/>
          <w:kern w:val="0"/>
          <w:sz w:val="32"/>
          <w:szCs w:val="32"/>
        </w:rPr>
        <w:lastRenderedPageBreak/>
        <w:t>的贯彻执行。完成科技中心综合楼消险维修改造项目</w:t>
      </w:r>
      <w:r>
        <w:rPr>
          <w:rFonts w:ascii="方正仿宋_GBK" w:eastAsia="方正仿宋_GBK" w:hAnsi="方正仿宋_GBK" w:cs="方正仿宋_GBK" w:hint="eastAsia"/>
          <w:kern w:val="0"/>
          <w:sz w:val="32"/>
          <w:szCs w:val="32"/>
        </w:rPr>
        <w:t>和</w:t>
      </w:r>
      <w:r>
        <w:rPr>
          <w:rFonts w:ascii="方正仿宋_GBK" w:eastAsia="方正仿宋_GBK" w:hAnsi="方正仿宋_GBK" w:cs="方正仿宋_GBK"/>
          <w:kern w:val="0"/>
          <w:sz w:val="32"/>
          <w:szCs w:val="32"/>
        </w:rPr>
        <w:t>中心所属企业清理脱钩工作。</w:t>
      </w:r>
    </w:p>
    <w:p w:rsidR="00EB0E0C" w:rsidRDefault="002F5CDE">
      <w:pPr>
        <w:widowControl/>
        <w:adjustRightInd w:val="0"/>
        <w:snapToGrid w:val="0"/>
        <w:spacing w:line="60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四、存在问题及原因分析</w:t>
      </w:r>
    </w:p>
    <w:p w:rsidR="00EB0E0C" w:rsidRDefault="002F5CDE">
      <w:pPr>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1.科技创新服务体系有待健全</w:t>
      </w:r>
      <w:r>
        <w:rPr>
          <w:rFonts w:ascii="方正仿宋_GBK" w:eastAsia="方正仿宋_GBK" w:hAnsi="方正仿宋_GBK" w:cs="方正仿宋_GBK" w:hint="eastAsia"/>
          <w:kern w:val="0"/>
          <w:sz w:val="32"/>
          <w:szCs w:val="32"/>
        </w:rPr>
        <w:t>。目前围绕中心任务高质量承接机关工作综合能力有待提高。对社会提供的科技服务不多，尚不能完全满足科技型企业的综合创新服务需求，主营业务不突出，核心竞争力有待打造。</w:t>
      </w:r>
    </w:p>
    <w:p w:rsidR="00EB0E0C" w:rsidRDefault="002F5CDE">
      <w:pPr>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2.科技创新服务能力有待加强。</w:t>
      </w:r>
      <w:r>
        <w:rPr>
          <w:rFonts w:ascii="方正仿宋_GBK" w:eastAsia="方正仿宋_GBK" w:hAnsi="方正仿宋_GBK" w:cs="方正仿宋_GBK" w:hint="eastAsia"/>
          <w:kern w:val="0"/>
          <w:sz w:val="32"/>
          <w:szCs w:val="32"/>
        </w:rPr>
        <w:t>团队年龄和知识结构有待优化，对于科技创新服务能力的研究和思考还不够深入，缺少推动服务创新和管理创新的内在机制。</w:t>
      </w:r>
    </w:p>
    <w:p w:rsidR="00EB0E0C" w:rsidRDefault="002F5CDE">
      <w:pPr>
        <w:adjustRightInd w:val="0"/>
        <w:snapToGrid w:val="0"/>
        <w:spacing w:line="600" w:lineRule="exact"/>
        <w:ind w:firstLineChars="200" w:firstLine="640"/>
        <w:rPr>
          <w:rFonts w:ascii="方正仿宋_GBK" w:eastAsia="方正仿宋_GBK" w:hAnsi="方正仿宋_GBK" w:cs="方正仿宋_GBK"/>
          <w:kern w:val="0"/>
          <w:sz w:val="32"/>
          <w:szCs w:val="32"/>
        </w:rPr>
      </w:pPr>
      <w:r>
        <w:rPr>
          <w:rFonts w:ascii="方正楷体_GBK" w:eastAsia="方正楷体_GBK" w:hAnsi="方正楷体_GBK" w:cs="方正楷体_GBK" w:hint="eastAsia"/>
          <w:color w:val="000000" w:themeColor="text1"/>
          <w:sz w:val="32"/>
          <w:szCs w:val="32"/>
        </w:rPr>
        <w:t>3.科技创新服务资源有待完善。</w:t>
      </w:r>
      <w:r>
        <w:rPr>
          <w:rFonts w:ascii="方正仿宋_GBK" w:eastAsia="方正仿宋_GBK" w:hAnsi="方正仿宋_GBK" w:cs="方正仿宋_GBK" w:hint="eastAsia"/>
          <w:kern w:val="0"/>
          <w:sz w:val="32"/>
          <w:szCs w:val="32"/>
        </w:rPr>
        <w:t>随着业务的不断转型和调整，目前中心对外服务平台不多，在调动社会资源方面，还没有形成有效机制，汇聚、</w:t>
      </w:r>
      <w:proofErr w:type="gramStart"/>
      <w:r>
        <w:rPr>
          <w:rFonts w:ascii="方正仿宋_GBK" w:eastAsia="方正仿宋_GBK" w:hAnsi="方正仿宋_GBK" w:cs="方正仿宋_GBK" w:hint="eastAsia"/>
          <w:kern w:val="0"/>
          <w:sz w:val="32"/>
          <w:szCs w:val="32"/>
        </w:rPr>
        <w:t>整合全市</w:t>
      </w:r>
      <w:proofErr w:type="gramEnd"/>
      <w:r>
        <w:rPr>
          <w:rFonts w:ascii="方正仿宋_GBK" w:eastAsia="方正仿宋_GBK" w:hAnsi="方正仿宋_GBK" w:cs="方正仿宋_GBK" w:hint="eastAsia"/>
          <w:kern w:val="0"/>
          <w:sz w:val="32"/>
          <w:szCs w:val="32"/>
        </w:rPr>
        <w:t>乃至长三角地区的社会资源能力和协同服务能力还有待进一步提高。</w:t>
      </w:r>
    </w:p>
    <w:p w:rsidR="00EB0E0C" w:rsidRDefault="002F5CDE">
      <w:pPr>
        <w:widowControl/>
        <w:adjustRightInd w:val="0"/>
        <w:snapToGrid w:val="0"/>
        <w:spacing w:line="60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五、有关建议</w:t>
      </w:r>
    </w:p>
    <w:p w:rsidR="00EB0E0C" w:rsidRDefault="002F5CDE">
      <w:pPr>
        <w:adjustRightInd w:val="0"/>
        <w:snapToGrid w:val="0"/>
        <w:spacing w:line="580" w:lineRule="exact"/>
        <w:ind w:firstLineChars="200" w:firstLine="640"/>
        <w:rPr>
          <w:rFonts w:ascii="Times New Roman" w:eastAsia="方正仿宋_GBK" w:hAnsi="Times New Roman"/>
          <w:bCs/>
          <w:sz w:val="32"/>
          <w:szCs w:val="32"/>
        </w:rPr>
      </w:pPr>
      <w:r>
        <w:rPr>
          <w:rFonts w:ascii="方正仿宋_GBK" w:eastAsia="方正仿宋_GBK" w:hAnsi="Times New Roman" w:hint="eastAsia"/>
          <w:bCs/>
          <w:sz w:val="32"/>
          <w:szCs w:val="32"/>
        </w:rPr>
        <w:t>建议多开展相关业务培训，以便更好推进单位预算绩效评价管理工作，提升部门绩效管理能力。</w:t>
      </w:r>
    </w:p>
    <w:p w:rsidR="00EB0E0C" w:rsidRDefault="002F5CDE">
      <w:pPr>
        <w:widowControl/>
        <w:adjustRightInd w:val="0"/>
        <w:snapToGrid w:val="0"/>
        <w:spacing w:line="60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六、评价工作开展情况及其他需说明的情况</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评价组织的前期准备情况：根据相关通知精神，转化中心建立了由单位主要负责人负责，其他负责人和财务、办公室、人事等部门负责人参与的评价工作机制，推进评价组织实施。</w:t>
      </w:r>
    </w:p>
    <w:p w:rsidR="00EB0E0C" w:rsidRDefault="002F5CDE">
      <w:pPr>
        <w:widowControl/>
        <w:adjustRightInd w:val="0"/>
        <w:snapToGrid w:val="0"/>
        <w:spacing w:line="600" w:lineRule="exact"/>
        <w:ind w:firstLineChars="200" w:firstLine="640"/>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评价工作对照相关实施意见、行动计划和管理要求，第一时间针对部门决策、管理、履职、绩效等方面，开展现场核查，汇</w:t>
      </w:r>
      <w:r>
        <w:rPr>
          <w:rFonts w:ascii="方正仿宋_GBK" w:eastAsia="方正仿宋_GBK" w:hAnsi="方正仿宋_GBK" w:cs="方正仿宋_GBK" w:hint="eastAsia"/>
          <w:color w:val="000000" w:themeColor="text1"/>
          <w:kern w:val="0"/>
          <w:sz w:val="32"/>
          <w:szCs w:val="32"/>
        </w:rPr>
        <w:lastRenderedPageBreak/>
        <w:t>总相关资料信息。按照《评价指标体系》，逐项分析评价。初步评价结果拟定后，与市科技局和相关部门多次沟通反馈，达成共识。在此基础上，全面、客观总结整体绩效情况，形成评价报告，充分讨论后正式定稿、上报。</w:t>
      </w:r>
    </w:p>
    <w:p w:rsidR="00EB0E0C" w:rsidRDefault="00EB0E0C">
      <w:pPr>
        <w:pStyle w:val="a0"/>
      </w:pPr>
    </w:p>
    <w:p w:rsidR="00EB0E0C" w:rsidRDefault="002F5CDE">
      <w:pPr>
        <w:pStyle w:val="a0"/>
      </w:pPr>
      <w:bookmarkStart w:id="0" w:name="_GoBack"/>
      <w:bookmarkEnd w:id="0"/>
      <w:r>
        <w:rPr>
          <w:rFonts w:hint="eastAsia"/>
        </w:rPr>
        <w:t xml:space="preserve"> </w:t>
      </w:r>
      <w:r>
        <w:t xml:space="preserve">    </w:t>
      </w:r>
    </w:p>
    <w:p w:rsidR="00EB0E0C" w:rsidRDefault="00EB0E0C">
      <w:pPr>
        <w:spacing w:line="536" w:lineRule="exact"/>
        <w:rPr>
          <w:rFonts w:ascii="方正楷体_GBK" w:eastAsia="方正楷体_GBK" w:hAnsi="方正楷体_GBK" w:cs="方正楷体_GBK"/>
          <w:color w:val="000000" w:themeColor="text1"/>
          <w:sz w:val="32"/>
          <w:szCs w:val="32"/>
        </w:rPr>
      </w:pPr>
    </w:p>
    <w:p w:rsidR="00EB0E0C" w:rsidRDefault="00EB0E0C">
      <w:pPr>
        <w:spacing w:line="536" w:lineRule="exact"/>
        <w:rPr>
          <w:rFonts w:ascii="方正楷体_GBK" w:eastAsia="方正楷体_GBK" w:hAnsi="方正楷体_GBK" w:cs="方正楷体_GBK"/>
          <w:color w:val="000000" w:themeColor="text1"/>
          <w:sz w:val="32"/>
          <w:szCs w:val="32"/>
        </w:rPr>
      </w:pPr>
    </w:p>
    <w:sectPr w:rsidR="00EB0E0C" w:rsidSect="00DC6162">
      <w:footerReference w:type="even" r:id="rId6"/>
      <w:footerReference w:type="default" r:id="rId7"/>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B20" w:rsidRDefault="00A67B20">
      <w:r>
        <w:separator/>
      </w:r>
    </w:p>
  </w:endnote>
  <w:endnote w:type="continuationSeparator" w:id="0">
    <w:p w:rsidR="00A67B20" w:rsidRDefault="00A67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0C" w:rsidRDefault="00B4290A">
    <w:pPr>
      <w:pStyle w:val="a4"/>
      <w:framePr w:wrap="around" w:vAnchor="text" w:hAnchor="margin" w:xAlign="center" w:y="1"/>
      <w:rPr>
        <w:rStyle w:val="a7"/>
      </w:rPr>
    </w:pPr>
    <w:r>
      <w:rPr>
        <w:rStyle w:val="a7"/>
      </w:rPr>
      <w:fldChar w:fldCharType="begin"/>
    </w:r>
    <w:r w:rsidR="002F5CDE">
      <w:rPr>
        <w:rStyle w:val="a7"/>
      </w:rPr>
      <w:instrText xml:space="preserve">PAGE  </w:instrText>
    </w:r>
    <w:r>
      <w:rPr>
        <w:rStyle w:val="a7"/>
      </w:rPr>
      <w:fldChar w:fldCharType="end"/>
    </w:r>
  </w:p>
  <w:p w:rsidR="00EB0E0C" w:rsidRDefault="00EB0E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E0C" w:rsidRDefault="00B4290A">
    <w:pPr>
      <w:pStyle w:val="a4"/>
      <w:framePr w:wrap="around" w:vAnchor="text" w:hAnchor="margin" w:xAlign="center" w:y="1"/>
      <w:rPr>
        <w:rStyle w:val="a7"/>
      </w:rPr>
    </w:pPr>
    <w:r>
      <w:rPr>
        <w:rStyle w:val="a7"/>
      </w:rPr>
      <w:fldChar w:fldCharType="begin"/>
    </w:r>
    <w:r w:rsidR="002F5CDE">
      <w:rPr>
        <w:rStyle w:val="a7"/>
      </w:rPr>
      <w:instrText xml:space="preserve">PAGE  </w:instrText>
    </w:r>
    <w:r>
      <w:rPr>
        <w:rStyle w:val="a7"/>
      </w:rPr>
      <w:fldChar w:fldCharType="separate"/>
    </w:r>
    <w:r w:rsidR="00922247">
      <w:rPr>
        <w:rStyle w:val="a7"/>
        <w:noProof/>
      </w:rPr>
      <w:t>5</w:t>
    </w:r>
    <w:r>
      <w:rPr>
        <w:rStyle w:val="a7"/>
      </w:rPr>
      <w:fldChar w:fldCharType="end"/>
    </w:r>
  </w:p>
  <w:p w:rsidR="00EB0E0C" w:rsidRDefault="00EB0E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B20" w:rsidRDefault="00A67B20">
      <w:r>
        <w:separator/>
      </w:r>
    </w:p>
  </w:footnote>
  <w:footnote w:type="continuationSeparator" w:id="0">
    <w:p w:rsidR="00A67B20" w:rsidRDefault="00A67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ZmRmYzU5N2QwNDJkZTc3NGY0NzJlMGQ3OGE2ZmYyNWUifQ=="/>
  </w:docVars>
  <w:rsids>
    <w:rsidRoot w:val="001A3475"/>
    <w:rsid w:val="000039FB"/>
    <w:rsid w:val="00005B3C"/>
    <w:rsid w:val="00023B4C"/>
    <w:rsid w:val="00050662"/>
    <w:rsid w:val="0006046A"/>
    <w:rsid w:val="0007160A"/>
    <w:rsid w:val="000811EC"/>
    <w:rsid w:val="000A2667"/>
    <w:rsid w:val="000A6A1E"/>
    <w:rsid w:val="000E3972"/>
    <w:rsid w:val="000F0ABA"/>
    <w:rsid w:val="000F78F0"/>
    <w:rsid w:val="001014EE"/>
    <w:rsid w:val="00123F9C"/>
    <w:rsid w:val="00132997"/>
    <w:rsid w:val="00141904"/>
    <w:rsid w:val="0016286B"/>
    <w:rsid w:val="0017272F"/>
    <w:rsid w:val="00176156"/>
    <w:rsid w:val="001A3475"/>
    <w:rsid w:val="00207852"/>
    <w:rsid w:val="00213663"/>
    <w:rsid w:val="002207C6"/>
    <w:rsid w:val="002208A6"/>
    <w:rsid w:val="0023407D"/>
    <w:rsid w:val="00234DC0"/>
    <w:rsid w:val="00236525"/>
    <w:rsid w:val="00247DCC"/>
    <w:rsid w:val="00254F2A"/>
    <w:rsid w:val="00265E09"/>
    <w:rsid w:val="00281955"/>
    <w:rsid w:val="00285A03"/>
    <w:rsid w:val="002918F6"/>
    <w:rsid w:val="00297A94"/>
    <w:rsid w:val="002B36E8"/>
    <w:rsid w:val="002C3A10"/>
    <w:rsid w:val="002D4108"/>
    <w:rsid w:val="002F5CDE"/>
    <w:rsid w:val="002F796F"/>
    <w:rsid w:val="003030FE"/>
    <w:rsid w:val="003055F7"/>
    <w:rsid w:val="00306ACC"/>
    <w:rsid w:val="00314955"/>
    <w:rsid w:val="00324F1A"/>
    <w:rsid w:val="00330A85"/>
    <w:rsid w:val="003441C3"/>
    <w:rsid w:val="0034601B"/>
    <w:rsid w:val="0034709C"/>
    <w:rsid w:val="003715BA"/>
    <w:rsid w:val="00381D80"/>
    <w:rsid w:val="003823CF"/>
    <w:rsid w:val="00397272"/>
    <w:rsid w:val="003C4982"/>
    <w:rsid w:val="00403784"/>
    <w:rsid w:val="00426293"/>
    <w:rsid w:val="00433B77"/>
    <w:rsid w:val="00454955"/>
    <w:rsid w:val="0046434C"/>
    <w:rsid w:val="004725D7"/>
    <w:rsid w:val="00472B03"/>
    <w:rsid w:val="00472CEA"/>
    <w:rsid w:val="00477DFA"/>
    <w:rsid w:val="00497E89"/>
    <w:rsid w:val="004C472D"/>
    <w:rsid w:val="004C5B73"/>
    <w:rsid w:val="004C7C7C"/>
    <w:rsid w:val="004D2C56"/>
    <w:rsid w:val="004D488C"/>
    <w:rsid w:val="004E7F05"/>
    <w:rsid w:val="004F1301"/>
    <w:rsid w:val="004F2C38"/>
    <w:rsid w:val="004F6D42"/>
    <w:rsid w:val="00504077"/>
    <w:rsid w:val="00506B1A"/>
    <w:rsid w:val="00521A39"/>
    <w:rsid w:val="005222A8"/>
    <w:rsid w:val="005356AB"/>
    <w:rsid w:val="0053702A"/>
    <w:rsid w:val="00540B73"/>
    <w:rsid w:val="005546EE"/>
    <w:rsid w:val="005748CF"/>
    <w:rsid w:val="00583525"/>
    <w:rsid w:val="005958A5"/>
    <w:rsid w:val="00597456"/>
    <w:rsid w:val="005A4AFB"/>
    <w:rsid w:val="005A683E"/>
    <w:rsid w:val="005A6A76"/>
    <w:rsid w:val="005C1546"/>
    <w:rsid w:val="005E05B2"/>
    <w:rsid w:val="005E0EF3"/>
    <w:rsid w:val="005F3989"/>
    <w:rsid w:val="00602A73"/>
    <w:rsid w:val="0060305D"/>
    <w:rsid w:val="00622BA4"/>
    <w:rsid w:val="006448C2"/>
    <w:rsid w:val="00664C61"/>
    <w:rsid w:val="006B531D"/>
    <w:rsid w:val="006C6240"/>
    <w:rsid w:val="006E0F27"/>
    <w:rsid w:val="006F2533"/>
    <w:rsid w:val="007151E6"/>
    <w:rsid w:val="00717F11"/>
    <w:rsid w:val="007204A9"/>
    <w:rsid w:val="0072643B"/>
    <w:rsid w:val="00762451"/>
    <w:rsid w:val="00774469"/>
    <w:rsid w:val="007B023C"/>
    <w:rsid w:val="007E19DE"/>
    <w:rsid w:val="007F0D61"/>
    <w:rsid w:val="007F7ABE"/>
    <w:rsid w:val="00802608"/>
    <w:rsid w:val="008150EE"/>
    <w:rsid w:val="00816CC2"/>
    <w:rsid w:val="00823891"/>
    <w:rsid w:val="0082742A"/>
    <w:rsid w:val="00830C45"/>
    <w:rsid w:val="00831202"/>
    <w:rsid w:val="00840708"/>
    <w:rsid w:val="00841AB5"/>
    <w:rsid w:val="00852F71"/>
    <w:rsid w:val="008533F5"/>
    <w:rsid w:val="008A3118"/>
    <w:rsid w:val="008C556C"/>
    <w:rsid w:val="008E59E3"/>
    <w:rsid w:val="008F5821"/>
    <w:rsid w:val="008F62B1"/>
    <w:rsid w:val="009104B0"/>
    <w:rsid w:val="0091330D"/>
    <w:rsid w:val="009216B5"/>
    <w:rsid w:val="00922247"/>
    <w:rsid w:val="00947278"/>
    <w:rsid w:val="00972E65"/>
    <w:rsid w:val="009A230D"/>
    <w:rsid w:val="009A3014"/>
    <w:rsid w:val="009C22F6"/>
    <w:rsid w:val="009D620F"/>
    <w:rsid w:val="00A04621"/>
    <w:rsid w:val="00A062DC"/>
    <w:rsid w:val="00A10901"/>
    <w:rsid w:val="00A11D48"/>
    <w:rsid w:val="00A12F2C"/>
    <w:rsid w:val="00A205F0"/>
    <w:rsid w:val="00A20A06"/>
    <w:rsid w:val="00A30ED1"/>
    <w:rsid w:val="00A3226D"/>
    <w:rsid w:val="00A33064"/>
    <w:rsid w:val="00A353BA"/>
    <w:rsid w:val="00A37E06"/>
    <w:rsid w:val="00A463A6"/>
    <w:rsid w:val="00A67B20"/>
    <w:rsid w:val="00A73485"/>
    <w:rsid w:val="00A74FB0"/>
    <w:rsid w:val="00A7604F"/>
    <w:rsid w:val="00A77A94"/>
    <w:rsid w:val="00A80D44"/>
    <w:rsid w:val="00A825FC"/>
    <w:rsid w:val="00A94F8A"/>
    <w:rsid w:val="00AC2841"/>
    <w:rsid w:val="00AC50EB"/>
    <w:rsid w:val="00AC5FFD"/>
    <w:rsid w:val="00AE074A"/>
    <w:rsid w:val="00AE0A09"/>
    <w:rsid w:val="00AE1123"/>
    <w:rsid w:val="00B007FB"/>
    <w:rsid w:val="00B24BCF"/>
    <w:rsid w:val="00B25E8F"/>
    <w:rsid w:val="00B4290A"/>
    <w:rsid w:val="00B767D3"/>
    <w:rsid w:val="00BB01D1"/>
    <w:rsid w:val="00BD361C"/>
    <w:rsid w:val="00BE66B1"/>
    <w:rsid w:val="00C21BAE"/>
    <w:rsid w:val="00C223C1"/>
    <w:rsid w:val="00C31050"/>
    <w:rsid w:val="00C63F1C"/>
    <w:rsid w:val="00C76581"/>
    <w:rsid w:val="00C838E7"/>
    <w:rsid w:val="00C95200"/>
    <w:rsid w:val="00CB063F"/>
    <w:rsid w:val="00CC2EF3"/>
    <w:rsid w:val="00CD0AA1"/>
    <w:rsid w:val="00CD1902"/>
    <w:rsid w:val="00CD5FF2"/>
    <w:rsid w:val="00CE2DFA"/>
    <w:rsid w:val="00CE3A5A"/>
    <w:rsid w:val="00D20312"/>
    <w:rsid w:val="00D30BBD"/>
    <w:rsid w:val="00D469D8"/>
    <w:rsid w:val="00D92046"/>
    <w:rsid w:val="00DC23A4"/>
    <w:rsid w:val="00DC6162"/>
    <w:rsid w:val="00DE0E9A"/>
    <w:rsid w:val="00DE44EB"/>
    <w:rsid w:val="00DE678D"/>
    <w:rsid w:val="00DF22B0"/>
    <w:rsid w:val="00E04486"/>
    <w:rsid w:val="00E210D4"/>
    <w:rsid w:val="00E3016E"/>
    <w:rsid w:val="00E37169"/>
    <w:rsid w:val="00E375E6"/>
    <w:rsid w:val="00E43178"/>
    <w:rsid w:val="00E537FA"/>
    <w:rsid w:val="00E7525E"/>
    <w:rsid w:val="00E82782"/>
    <w:rsid w:val="00E83A99"/>
    <w:rsid w:val="00E918FD"/>
    <w:rsid w:val="00EA672B"/>
    <w:rsid w:val="00EA72DD"/>
    <w:rsid w:val="00EB0E0C"/>
    <w:rsid w:val="00EC5609"/>
    <w:rsid w:val="00ED0979"/>
    <w:rsid w:val="00ED6FE7"/>
    <w:rsid w:val="00EE4AED"/>
    <w:rsid w:val="00EF2F11"/>
    <w:rsid w:val="00F25058"/>
    <w:rsid w:val="00F32521"/>
    <w:rsid w:val="00F36F7E"/>
    <w:rsid w:val="00F43933"/>
    <w:rsid w:val="00F4776C"/>
    <w:rsid w:val="00F6033E"/>
    <w:rsid w:val="00F9473E"/>
    <w:rsid w:val="00FA2285"/>
    <w:rsid w:val="00FC5FB4"/>
    <w:rsid w:val="00FC7E3B"/>
    <w:rsid w:val="00FD439B"/>
    <w:rsid w:val="00FE2933"/>
    <w:rsid w:val="01E917C9"/>
    <w:rsid w:val="024B59DB"/>
    <w:rsid w:val="02A4220C"/>
    <w:rsid w:val="040C7417"/>
    <w:rsid w:val="049F4AE1"/>
    <w:rsid w:val="05421AC5"/>
    <w:rsid w:val="05990AC1"/>
    <w:rsid w:val="06720EB0"/>
    <w:rsid w:val="06E14AFA"/>
    <w:rsid w:val="08205AFA"/>
    <w:rsid w:val="0828574C"/>
    <w:rsid w:val="08AD5BDC"/>
    <w:rsid w:val="0AF74EFC"/>
    <w:rsid w:val="0B156351"/>
    <w:rsid w:val="0B753238"/>
    <w:rsid w:val="0CC85454"/>
    <w:rsid w:val="0DA52D0D"/>
    <w:rsid w:val="0DFB49F2"/>
    <w:rsid w:val="0EBB3B81"/>
    <w:rsid w:val="0ED62F2A"/>
    <w:rsid w:val="0FF56606"/>
    <w:rsid w:val="101747CE"/>
    <w:rsid w:val="123F625E"/>
    <w:rsid w:val="12BA0E0C"/>
    <w:rsid w:val="13531FC1"/>
    <w:rsid w:val="16147484"/>
    <w:rsid w:val="19027BF3"/>
    <w:rsid w:val="1946089D"/>
    <w:rsid w:val="19472785"/>
    <w:rsid w:val="199663FA"/>
    <w:rsid w:val="19F75D03"/>
    <w:rsid w:val="1A3316EC"/>
    <w:rsid w:val="1A6A3334"/>
    <w:rsid w:val="1C253332"/>
    <w:rsid w:val="1EE2458B"/>
    <w:rsid w:val="1F2B2044"/>
    <w:rsid w:val="21927492"/>
    <w:rsid w:val="246D2069"/>
    <w:rsid w:val="24CA5E5B"/>
    <w:rsid w:val="270E3C60"/>
    <w:rsid w:val="27ED2023"/>
    <w:rsid w:val="28596283"/>
    <w:rsid w:val="29E07255"/>
    <w:rsid w:val="2F055094"/>
    <w:rsid w:val="32755658"/>
    <w:rsid w:val="337C30AF"/>
    <w:rsid w:val="34F62AA4"/>
    <w:rsid w:val="36E06005"/>
    <w:rsid w:val="396D3120"/>
    <w:rsid w:val="3A4F7C42"/>
    <w:rsid w:val="3A856654"/>
    <w:rsid w:val="3B8373F1"/>
    <w:rsid w:val="3E3D2DA2"/>
    <w:rsid w:val="419B4E05"/>
    <w:rsid w:val="4433616D"/>
    <w:rsid w:val="44C01469"/>
    <w:rsid w:val="44CB3FF8"/>
    <w:rsid w:val="455671E0"/>
    <w:rsid w:val="457A4B71"/>
    <w:rsid w:val="466E7736"/>
    <w:rsid w:val="4769333A"/>
    <w:rsid w:val="48912668"/>
    <w:rsid w:val="49521DF7"/>
    <w:rsid w:val="49C34B64"/>
    <w:rsid w:val="49C36851"/>
    <w:rsid w:val="4A2D0F56"/>
    <w:rsid w:val="4C472D51"/>
    <w:rsid w:val="4CEA60AE"/>
    <w:rsid w:val="4E7B05CC"/>
    <w:rsid w:val="4EF456FF"/>
    <w:rsid w:val="4F815A58"/>
    <w:rsid w:val="500103B4"/>
    <w:rsid w:val="50515C51"/>
    <w:rsid w:val="513246E8"/>
    <w:rsid w:val="540D5E1C"/>
    <w:rsid w:val="54253E64"/>
    <w:rsid w:val="54547704"/>
    <w:rsid w:val="57037B44"/>
    <w:rsid w:val="586C2CA0"/>
    <w:rsid w:val="5AE171E5"/>
    <w:rsid w:val="5B2C6CD4"/>
    <w:rsid w:val="5B404131"/>
    <w:rsid w:val="5B681C18"/>
    <w:rsid w:val="5C0F3B78"/>
    <w:rsid w:val="5CFA0384"/>
    <w:rsid w:val="5E287173"/>
    <w:rsid w:val="5E3033B1"/>
    <w:rsid w:val="62562501"/>
    <w:rsid w:val="65F730E6"/>
    <w:rsid w:val="6828712D"/>
    <w:rsid w:val="68295FC1"/>
    <w:rsid w:val="68500188"/>
    <w:rsid w:val="6A2F784C"/>
    <w:rsid w:val="6B223D7D"/>
    <w:rsid w:val="6B9145AA"/>
    <w:rsid w:val="6C02487D"/>
    <w:rsid w:val="6CD84C49"/>
    <w:rsid w:val="6CED3FF7"/>
    <w:rsid w:val="6D52463D"/>
    <w:rsid w:val="6D5D4D13"/>
    <w:rsid w:val="6E7311A3"/>
    <w:rsid w:val="6EAC2D4C"/>
    <w:rsid w:val="6EAF318B"/>
    <w:rsid w:val="6F402451"/>
    <w:rsid w:val="6F51652A"/>
    <w:rsid w:val="70E550D8"/>
    <w:rsid w:val="727F0905"/>
    <w:rsid w:val="72B73991"/>
    <w:rsid w:val="74492329"/>
    <w:rsid w:val="74AA6192"/>
    <w:rsid w:val="74B15375"/>
    <w:rsid w:val="752B73D5"/>
    <w:rsid w:val="76D5462F"/>
    <w:rsid w:val="77D47CF8"/>
    <w:rsid w:val="798474FC"/>
    <w:rsid w:val="79A871E5"/>
    <w:rsid w:val="7BBA014A"/>
    <w:rsid w:val="7CE30F70"/>
    <w:rsid w:val="7D4B6011"/>
    <w:rsid w:val="7D871B32"/>
    <w:rsid w:val="7FB0104A"/>
    <w:rsid w:val="7FFB6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6162"/>
    <w:pPr>
      <w:widowControl w:val="0"/>
      <w:jc w:val="both"/>
    </w:pPr>
    <w:rPr>
      <w:rFonts w:ascii="Calibri" w:hAnsi="Calibri"/>
      <w:kern w:val="2"/>
      <w:sz w:val="21"/>
      <w:szCs w:val="22"/>
    </w:rPr>
  </w:style>
  <w:style w:type="paragraph" w:styleId="1">
    <w:name w:val="heading 1"/>
    <w:basedOn w:val="a"/>
    <w:next w:val="a"/>
    <w:link w:val="1Char"/>
    <w:qFormat/>
    <w:locked/>
    <w:rsid w:val="00DC616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semiHidden/>
    <w:unhideWhenUsed/>
    <w:qFormat/>
    <w:locked/>
    <w:rsid w:val="00DC61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DC6162"/>
    <w:pPr>
      <w:snapToGrid w:val="0"/>
      <w:spacing w:line="260" w:lineRule="exact"/>
    </w:pPr>
  </w:style>
  <w:style w:type="paragraph" w:styleId="a4">
    <w:name w:val="footer"/>
    <w:basedOn w:val="a"/>
    <w:link w:val="Char"/>
    <w:uiPriority w:val="99"/>
    <w:semiHidden/>
    <w:qFormat/>
    <w:rsid w:val="00DC6162"/>
    <w:pPr>
      <w:tabs>
        <w:tab w:val="center" w:pos="4153"/>
        <w:tab w:val="right" w:pos="8306"/>
      </w:tabs>
      <w:snapToGrid w:val="0"/>
      <w:jc w:val="left"/>
    </w:pPr>
    <w:rPr>
      <w:sz w:val="18"/>
      <w:szCs w:val="18"/>
    </w:rPr>
  </w:style>
  <w:style w:type="paragraph" w:styleId="a5">
    <w:name w:val="header"/>
    <w:basedOn w:val="a"/>
    <w:link w:val="Char0"/>
    <w:uiPriority w:val="99"/>
    <w:semiHidden/>
    <w:qFormat/>
    <w:rsid w:val="00DC6162"/>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99"/>
    <w:qFormat/>
    <w:locked/>
    <w:rsid w:val="00DC61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qFormat/>
    <w:rsid w:val="00DC6162"/>
    <w:rPr>
      <w:rFonts w:cs="Times New Roman"/>
    </w:rPr>
  </w:style>
  <w:style w:type="character" w:styleId="a8">
    <w:name w:val="Hyperlink"/>
    <w:basedOn w:val="a1"/>
    <w:qFormat/>
    <w:rsid w:val="00DC6162"/>
    <w:rPr>
      <w:color w:val="0000FF"/>
      <w:u w:val="single"/>
    </w:rPr>
  </w:style>
  <w:style w:type="character" w:customStyle="1" w:styleId="Char0">
    <w:name w:val="页眉 Char"/>
    <w:link w:val="a5"/>
    <w:uiPriority w:val="99"/>
    <w:semiHidden/>
    <w:qFormat/>
    <w:locked/>
    <w:rsid w:val="00DC6162"/>
    <w:rPr>
      <w:rFonts w:cs="Times New Roman"/>
      <w:sz w:val="18"/>
      <w:szCs w:val="18"/>
    </w:rPr>
  </w:style>
  <w:style w:type="character" w:customStyle="1" w:styleId="Char">
    <w:name w:val="页脚 Char"/>
    <w:link w:val="a4"/>
    <w:uiPriority w:val="99"/>
    <w:semiHidden/>
    <w:qFormat/>
    <w:locked/>
    <w:rsid w:val="00DC6162"/>
    <w:rPr>
      <w:rFonts w:cs="Times New Roman"/>
      <w:sz w:val="18"/>
      <w:szCs w:val="18"/>
    </w:rPr>
  </w:style>
  <w:style w:type="paragraph" w:customStyle="1" w:styleId="1Char0">
    <w:name w:val="1 Char"/>
    <w:basedOn w:val="a"/>
    <w:uiPriority w:val="99"/>
    <w:qFormat/>
    <w:rsid w:val="00DC6162"/>
    <w:rPr>
      <w:rFonts w:ascii="Tahoma" w:hAnsi="Tahoma"/>
      <w:sz w:val="24"/>
      <w:szCs w:val="20"/>
    </w:rPr>
  </w:style>
  <w:style w:type="character" w:customStyle="1" w:styleId="2Char">
    <w:name w:val="标题 2 Char"/>
    <w:basedOn w:val="a1"/>
    <w:link w:val="2"/>
    <w:semiHidden/>
    <w:qFormat/>
    <w:rsid w:val="00DC6162"/>
    <w:rPr>
      <w:rFonts w:asciiTheme="majorHAnsi" w:eastAsiaTheme="majorEastAsia" w:hAnsiTheme="majorHAnsi" w:cstheme="majorBidi"/>
      <w:b/>
      <w:bCs/>
      <w:kern w:val="2"/>
      <w:sz w:val="32"/>
      <w:szCs w:val="32"/>
    </w:rPr>
  </w:style>
  <w:style w:type="character" w:customStyle="1" w:styleId="1Char">
    <w:name w:val="标题 1 Char"/>
    <w:basedOn w:val="a1"/>
    <w:link w:val="1"/>
    <w:qFormat/>
    <w:rsid w:val="00DC6162"/>
    <w:rPr>
      <w:rFonts w:ascii="Times New Roman" w:hAnsi="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locke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napToGrid w:val="0"/>
      <w:spacing w:line="260" w:lineRule="exact"/>
    </w:pPr>
  </w:style>
  <w:style w:type="paragraph" w:styleId="a4">
    <w:name w:val="footer"/>
    <w:basedOn w:val="a"/>
    <w:link w:val="Char"/>
    <w:uiPriority w:val="99"/>
    <w:semiHidden/>
    <w:qFormat/>
    <w:pPr>
      <w:tabs>
        <w:tab w:val="center" w:pos="4153"/>
        <w:tab w:val="right" w:pos="8306"/>
      </w:tabs>
      <w:snapToGrid w:val="0"/>
      <w:jc w:val="left"/>
    </w:pPr>
    <w:rPr>
      <w:sz w:val="18"/>
      <w:szCs w:val="18"/>
    </w:rPr>
  </w:style>
  <w:style w:type="paragraph" w:styleId="a5">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qFormat/>
    <w:rPr>
      <w:rFonts w:cs="Times New Roman"/>
    </w:rPr>
  </w:style>
  <w:style w:type="character" w:styleId="a8">
    <w:name w:val="Hyperlink"/>
    <w:basedOn w:val="a1"/>
    <w:qFormat/>
    <w:rPr>
      <w:color w:val="0000FF"/>
      <w:u w:val="single"/>
    </w:rPr>
  </w:style>
  <w:style w:type="character" w:customStyle="1" w:styleId="Char0">
    <w:name w:val="页眉 Char"/>
    <w:link w:val="a5"/>
    <w:uiPriority w:val="99"/>
    <w:semiHidden/>
    <w:qFormat/>
    <w:locked/>
    <w:rPr>
      <w:rFonts w:cs="Times New Roman"/>
      <w:sz w:val="18"/>
      <w:szCs w:val="18"/>
    </w:rPr>
  </w:style>
  <w:style w:type="character" w:customStyle="1" w:styleId="Char">
    <w:name w:val="页脚 Char"/>
    <w:link w:val="a4"/>
    <w:uiPriority w:val="99"/>
    <w:semiHidden/>
    <w:qFormat/>
    <w:locked/>
    <w:rPr>
      <w:rFonts w:cs="Times New Roman"/>
      <w:sz w:val="18"/>
      <w:szCs w:val="18"/>
    </w:rPr>
  </w:style>
  <w:style w:type="paragraph" w:customStyle="1" w:styleId="1Char0">
    <w:name w:val="1 Char"/>
    <w:basedOn w:val="a"/>
    <w:uiPriority w:val="99"/>
    <w:qFormat/>
    <w:rPr>
      <w:rFonts w:ascii="Tahoma" w:hAnsi="Tahoma"/>
      <w:sz w:val="24"/>
      <w:szCs w:val="20"/>
    </w:rPr>
  </w:style>
  <w:style w:type="character" w:customStyle="1" w:styleId="2Char">
    <w:name w:val="标题 2 Char"/>
    <w:basedOn w:val="a1"/>
    <w:link w:val="2"/>
    <w:semiHidden/>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rFonts w:ascii="Times New Roman" w:hAnsi="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1400</Words>
  <Characters>7981</Characters>
  <Application>Microsoft Office Word</Application>
  <DocSecurity>0</DocSecurity>
  <Lines>66</Lines>
  <Paragraphs>18</Paragraphs>
  <ScaleCrop>false</ScaleCrop>
  <Company>Microsoft</Company>
  <LinksUpToDate>false</LinksUpToDate>
  <CharactersWithSpaces>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南京市部门（单位）整体绩效评价报告（总报告）</dc:title>
  <dc:creator>lys</dc:creator>
  <cp:lastModifiedBy>lenovo</cp:lastModifiedBy>
  <cp:revision>3</cp:revision>
  <cp:lastPrinted>2023-06-20T01:51:00Z</cp:lastPrinted>
  <dcterms:created xsi:type="dcterms:W3CDTF">2023-09-07T10:44:00Z</dcterms:created>
  <dcterms:modified xsi:type="dcterms:W3CDTF">2023-09-07T10:45:00Z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1FF69F49A59345F695FE00A4B2920AB8</vt:lpwstr>
  </property>
  <property fmtid="{D5CDD505-2E9C-101B-9397-08002B2CF9AE}" pid="4" name="KSOSaveFontToCloudKey">
    <vt:lpwstr>278131437_btnclosed</vt:lpwstr>
  </property>
</Properties>
</file>