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ascii="方正楷体_GBK" w:eastAsia="方正楷体_GBK"/>
        </w:rPr>
      </w:pPr>
      <w:bookmarkStart w:id="0" w:name="_GoBack"/>
      <w:bookmarkEnd w:id="0"/>
      <w:r>
        <w:rPr>
          <w:rFonts w:hint="eastAsia" w:ascii="方正楷体_GBK" w:eastAsia="方正楷体_GBK"/>
        </w:rPr>
        <w:t>附件：</w:t>
      </w:r>
    </w:p>
    <w:p>
      <w:pPr>
        <w:ind w:firstLine="0"/>
        <w:jc w:val="center"/>
        <w:rPr>
          <w:rFonts w:hint="eastAsia" w:ascii="方正小标宋_GBK" w:eastAsia="方正小标宋_GBK"/>
          <w:sz w:val="36"/>
          <w:szCs w:val="36"/>
        </w:rPr>
      </w:pPr>
      <w:r>
        <w:rPr>
          <w:rFonts w:hint="eastAsia" w:ascii="方正小标宋_GBK" w:eastAsia="方正小标宋_GBK"/>
          <w:sz w:val="36"/>
          <w:szCs w:val="36"/>
        </w:rPr>
        <w:t>2025年度市软科学研究项目拟立项目公示清单</w:t>
      </w:r>
    </w:p>
    <w:tbl>
      <w:tblPr>
        <w:tblStyle w:val="4"/>
        <w:tblW w:w="9560" w:type="dxa"/>
        <w:tblInd w:w="93" w:type="dxa"/>
        <w:tblLayout w:type="autofit"/>
        <w:tblCellMar>
          <w:top w:w="0" w:type="dxa"/>
          <w:left w:w="108" w:type="dxa"/>
          <w:bottom w:w="0" w:type="dxa"/>
          <w:right w:w="108" w:type="dxa"/>
        </w:tblCellMar>
      </w:tblPr>
      <w:tblGrid>
        <w:gridCol w:w="600"/>
        <w:gridCol w:w="5840"/>
        <w:gridCol w:w="3120"/>
      </w:tblGrid>
      <w:tr>
        <w:tblPrEx>
          <w:tblCellMar>
            <w:top w:w="0" w:type="dxa"/>
            <w:left w:w="108" w:type="dxa"/>
            <w:bottom w:w="0" w:type="dxa"/>
            <w:right w:w="108" w:type="dxa"/>
          </w:tblCellMar>
        </w:tblPrEx>
        <w:trPr>
          <w:trHeight w:val="540" w:hRule="atLeast"/>
        </w:trPr>
        <w:tc>
          <w:tcPr>
            <w:tcW w:w="9560" w:type="dxa"/>
            <w:gridSpan w:val="3"/>
            <w:tcBorders>
              <w:top w:val="nil"/>
              <w:left w:val="nil"/>
              <w:bottom w:val="single" w:color="auto" w:sz="4" w:space="0"/>
              <w:right w:val="nil"/>
            </w:tcBorders>
            <w:shd w:val="clear" w:color="auto" w:fill="auto"/>
            <w:noWrap/>
            <w:vAlign w:val="center"/>
          </w:tcPr>
          <w:p>
            <w:pPr>
              <w:widowControl/>
              <w:autoSpaceDE/>
              <w:autoSpaceDN/>
              <w:snapToGrid/>
              <w:spacing w:line="240" w:lineRule="auto"/>
              <w:ind w:firstLine="0"/>
              <w:jc w:val="center"/>
              <w:rPr>
                <w:rFonts w:ascii="方正小标宋_GBK" w:hAnsi="宋体" w:eastAsia="方正小标宋_GBK" w:cs="宋体"/>
                <w:b/>
                <w:bCs/>
                <w:snapToGrid/>
                <w:color w:val="000000"/>
                <w:sz w:val="22"/>
                <w:szCs w:val="22"/>
              </w:rPr>
            </w:pPr>
            <w:r>
              <w:rPr>
                <w:rFonts w:hint="eastAsia" w:ascii="方正小标宋_GBK" w:hAnsi="宋体" w:eastAsia="方正小标宋_GBK" w:cs="宋体"/>
                <w:b/>
                <w:bCs/>
                <w:snapToGrid/>
                <w:color w:val="000000"/>
                <w:sz w:val="22"/>
                <w:szCs w:val="22"/>
              </w:rPr>
              <w:t>一、重点项目</w:t>
            </w:r>
          </w:p>
        </w:tc>
      </w:tr>
      <w:tr>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方正黑体_GBK" w:hAnsi="宋体" w:eastAsia="方正黑体_GBK" w:cs="宋体"/>
                <w:snapToGrid/>
                <w:sz w:val="18"/>
                <w:szCs w:val="18"/>
              </w:rPr>
            </w:pPr>
            <w:r>
              <w:rPr>
                <w:rFonts w:hint="eastAsia" w:ascii="方正黑体_GBK" w:hAnsi="宋体" w:eastAsia="方正黑体_GBK" w:cs="宋体"/>
                <w:snapToGrid/>
                <w:sz w:val="18"/>
                <w:szCs w:val="18"/>
              </w:rPr>
              <w:t>序号</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方正黑体_GBK" w:hAnsi="宋体" w:eastAsia="方正黑体_GBK" w:cs="宋体"/>
                <w:snapToGrid/>
                <w:sz w:val="18"/>
                <w:szCs w:val="18"/>
              </w:rPr>
            </w:pPr>
            <w:r>
              <w:rPr>
                <w:rFonts w:hint="eastAsia" w:ascii="方正黑体_GBK" w:hAnsi="宋体" w:eastAsia="方正黑体_GBK" w:cs="宋体"/>
                <w:snapToGrid/>
                <w:sz w:val="18"/>
                <w:szCs w:val="18"/>
              </w:rPr>
              <w:t>项目名称</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方正黑体_GBK" w:hAnsi="宋体" w:eastAsia="方正黑体_GBK" w:cs="宋体"/>
                <w:snapToGrid/>
                <w:sz w:val="18"/>
                <w:szCs w:val="18"/>
              </w:rPr>
            </w:pPr>
            <w:r>
              <w:rPr>
                <w:rFonts w:hint="eastAsia" w:ascii="方正黑体_GBK" w:hAnsi="宋体" w:eastAsia="方正黑体_GBK" w:cs="宋体"/>
                <w:snapToGrid/>
                <w:sz w:val="18"/>
                <w:szCs w:val="18"/>
              </w:rPr>
              <w:t>承担单位</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1</w:t>
            </w:r>
          </w:p>
        </w:tc>
        <w:tc>
          <w:tcPr>
            <w:tcW w:w="5840" w:type="dxa"/>
            <w:tcBorders>
              <w:top w:val="nil"/>
              <w:left w:val="nil"/>
              <w:bottom w:val="nil"/>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南京教育科技人才一体化改革试验示范机制研究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江苏省科学技术发展战略研究院</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2</w:t>
            </w:r>
          </w:p>
        </w:tc>
        <w:tc>
          <w:tcPr>
            <w:tcW w:w="5840" w:type="dxa"/>
            <w:tcBorders>
              <w:top w:val="single" w:color="auto" w:sz="4" w:space="0"/>
              <w:left w:val="nil"/>
              <w:bottom w:val="nil"/>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面向2035的我市科技创新中长期发展重点关键问题研究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南京市科技信息研究所</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3</w:t>
            </w:r>
          </w:p>
        </w:tc>
        <w:tc>
          <w:tcPr>
            <w:tcW w:w="5840" w:type="dxa"/>
            <w:tcBorders>
              <w:top w:val="single" w:color="auto" w:sz="4" w:space="0"/>
              <w:left w:val="nil"/>
              <w:bottom w:val="nil"/>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南京市生物医药产业高质量发展“十五五”规划预研</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中国药科大学</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4</w:t>
            </w:r>
          </w:p>
        </w:tc>
        <w:tc>
          <w:tcPr>
            <w:tcW w:w="584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南京提升重大产业科技创新平台原创动能的路径和机制研究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东南大学</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5</w:t>
            </w:r>
          </w:p>
        </w:tc>
        <w:tc>
          <w:tcPr>
            <w:tcW w:w="5840" w:type="dxa"/>
            <w:tcBorders>
              <w:top w:val="nil"/>
              <w:left w:val="nil"/>
              <w:bottom w:val="nil"/>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南京三大农业科创平台建设与协同发展路径的探索研究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南京林业大学</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6</w:t>
            </w:r>
          </w:p>
        </w:tc>
        <w:tc>
          <w:tcPr>
            <w:tcW w:w="584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南京进一步深化科技人才评价改革试点研究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南京市科技信息研究所</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7</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南京市生物制造前沿技术和产业布局的研究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南京市科技信息研究所</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8</w:t>
            </w:r>
          </w:p>
        </w:tc>
        <w:tc>
          <w:tcPr>
            <w:tcW w:w="5840" w:type="dxa"/>
            <w:tcBorders>
              <w:top w:val="nil"/>
              <w:left w:val="nil"/>
              <w:bottom w:val="nil"/>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南京市推进高校科技成果转移转化体制机制研究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江苏省科学学与科研管理研究会</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9</w:t>
            </w:r>
          </w:p>
        </w:tc>
        <w:tc>
          <w:tcPr>
            <w:tcW w:w="5840"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南京深化科技体制综合改革三年行动评估</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南京市科技信息研究所</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10</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南京产业科技创新风险应对策略研究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东南大学</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11</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南京创新主体高质量发展梯度培育体系研究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南京晓庄学院</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12</w:t>
            </w:r>
          </w:p>
        </w:tc>
        <w:tc>
          <w:tcPr>
            <w:tcW w:w="5840" w:type="dxa"/>
            <w:tcBorders>
              <w:top w:val="nil"/>
              <w:left w:val="nil"/>
              <w:bottom w:val="nil"/>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南京健全保障科研人员专心科研对策研究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南京财经大学</w:t>
            </w:r>
          </w:p>
        </w:tc>
      </w:tr>
      <w:tr>
        <w:tblPrEx>
          <w:tblCellMar>
            <w:top w:w="0" w:type="dxa"/>
            <w:left w:w="108" w:type="dxa"/>
            <w:bottom w:w="0" w:type="dxa"/>
            <w:right w:w="108" w:type="dxa"/>
          </w:tblCellMar>
        </w:tblPrEx>
        <w:trPr>
          <w:trHeight w:val="36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13</w:t>
            </w:r>
          </w:p>
        </w:tc>
        <w:tc>
          <w:tcPr>
            <w:tcW w:w="5840" w:type="dxa"/>
            <w:tcBorders>
              <w:top w:val="single" w:color="auto" w:sz="4" w:space="0"/>
              <w:left w:val="nil"/>
              <w:bottom w:val="nil"/>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沿沪宁协同创新城市联盟科创要素平台建设研究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江苏省科学技术情报研究所</w:t>
            </w:r>
          </w:p>
        </w:tc>
      </w:tr>
      <w:tr>
        <w:tblPrEx>
          <w:tblCellMar>
            <w:top w:w="0" w:type="dxa"/>
            <w:left w:w="108" w:type="dxa"/>
            <w:bottom w:w="0" w:type="dxa"/>
            <w:right w:w="108" w:type="dxa"/>
          </w:tblCellMar>
        </w:tblPrEx>
        <w:trPr>
          <w:trHeight w:val="360" w:hRule="atLeast"/>
        </w:trPr>
        <w:tc>
          <w:tcPr>
            <w:tcW w:w="60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14</w:t>
            </w:r>
          </w:p>
        </w:tc>
        <w:tc>
          <w:tcPr>
            <w:tcW w:w="58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南京进一步推动科技创新与产业创新深度融合思路对策研究（赛马制）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金陵科技学院</w:t>
            </w:r>
          </w:p>
        </w:tc>
      </w:tr>
      <w:tr>
        <w:tblPrEx>
          <w:tblCellMar>
            <w:top w:w="0" w:type="dxa"/>
            <w:left w:w="108" w:type="dxa"/>
            <w:bottom w:w="0" w:type="dxa"/>
            <w:right w:w="108" w:type="dxa"/>
          </w:tblCellMar>
        </w:tblPrEx>
        <w:trPr>
          <w:trHeight w:val="360"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autoSpaceDE/>
              <w:autoSpaceDN/>
              <w:snapToGrid/>
              <w:spacing w:line="320" w:lineRule="exact"/>
              <w:ind w:firstLine="0"/>
              <w:jc w:val="left"/>
              <w:rPr>
                <w:rFonts w:eastAsia="宋体"/>
                <w:snapToGrid/>
                <w:color w:val="000000"/>
                <w:sz w:val="18"/>
                <w:szCs w:val="18"/>
              </w:rPr>
            </w:pPr>
          </w:p>
        </w:tc>
        <w:tc>
          <w:tcPr>
            <w:tcW w:w="5840" w:type="dxa"/>
            <w:vMerge w:val="continue"/>
            <w:tcBorders>
              <w:top w:val="single" w:color="auto" w:sz="4" w:space="0"/>
              <w:left w:val="single" w:color="auto" w:sz="4" w:space="0"/>
              <w:bottom w:val="single" w:color="000000" w:sz="4" w:space="0"/>
              <w:right w:val="single" w:color="auto" w:sz="4" w:space="0"/>
            </w:tcBorders>
            <w:vAlign w:val="center"/>
          </w:tcPr>
          <w:p>
            <w:pPr>
              <w:widowControl/>
              <w:autoSpaceDE/>
              <w:autoSpaceDN/>
              <w:snapToGrid/>
              <w:spacing w:line="320" w:lineRule="exact"/>
              <w:ind w:firstLine="0"/>
              <w:jc w:val="left"/>
              <w:rPr>
                <w:rFonts w:ascii="方正仿宋_GBK" w:hAnsi="宋体" w:cs="宋体"/>
                <w:snapToGrid/>
                <w:color w:val="000000"/>
                <w:sz w:val="18"/>
                <w:szCs w:val="18"/>
              </w:rPr>
            </w:pP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江苏省苏科创新战略研究院</w:t>
            </w:r>
          </w:p>
        </w:tc>
      </w:tr>
      <w:tr>
        <w:tblPrEx>
          <w:tblCellMar>
            <w:top w:w="0" w:type="dxa"/>
            <w:left w:w="108" w:type="dxa"/>
            <w:bottom w:w="0" w:type="dxa"/>
            <w:right w:w="108" w:type="dxa"/>
          </w:tblCellMar>
        </w:tblPrEx>
        <w:trPr>
          <w:trHeight w:val="360" w:hRule="atLeast"/>
        </w:trPr>
        <w:tc>
          <w:tcPr>
            <w:tcW w:w="60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color w:val="000000"/>
                <w:sz w:val="18"/>
                <w:szCs w:val="18"/>
              </w:rPr>
            </w:pPr>
            <w:r>
              <w:rPr>
                <w:rFonts w:eastAsia="宋体"/>
                <w:snapToGrid/>
                <w:color w:val="000000"/>
                <w:sz w:val="18"/>
                <w:szCs w:val="18"/>
              </w:rPr>
              <w:t>15</w:t>
            </w:r>
          </w:p>
        </w:tc>
        <w:tc>
          <w:tcPr>
            <w:tcW w:w="5840" w:type="dxa"/>
            <w:vMerge w:val="restart"/>
            <w:tcBorders>
              <w:top w:val="nil"/>
              <w:left w:val="single" w:color="auto" w:sz="4" w:space="0"/>
              <w:bottom w:val="single" w:color="000000"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南京高新区争先进位目标下的战略挑战与突破路径（赛马制）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南京林业大学</w:t>
            </w:r>
          </w:p>
        </w:tc>
      </w:tr>
      <w:tr>
        <w:tblPrEx>
          <w:tblCellMar>
            <w:top w:w="0" w:type="dxa"/>
            <w:left w:w="108" w:type="dxa"/>
            <w:bottom w:w="0" w:type="dxa"/>
            <w:right w:w="108" w:type="dxa"/>
          </w:tblCellMar>
        </w:tblPrEx>
        <w:trPr>
          <w:trHeight w:val="360" w:hRule="atLeast"/>
        </w:trPr>
        <w:tc>
          <w:tcPr>
            <w:tcW w:w="600" w:type="dxa"/>
            <w:vMerge w:val="continue"/>
            <w:tcBorders>
              <w:top w:val="nil"/>
              <w:left w:val="single" w:color="auto" w:sz="4" w:space="0"/>
              <w:bottom w:val="single" w:color="000000" w:sz="4" w:space="0"/>
              <w:right w:val="single" w:color="auto" w:sz="4" w:space="0"/>
            </w:tcBorders>
            <w:vAlign w:val="center"/>
          </w:tcPr>
          <w:p>
            <w:pPr>
              <w:widowControl/>
              <w:autoSpaceDE/>
              <w:autoSpaceDN/>
              <w:snapToGrid/>
              <w:spacing w:line="320" w:lineRule="exact"/>
              <w:ind w:firstLine="0"/>
              <w:jc w:val="left"/>
              <w:rPr>
                <w:rFonts w:eastAsia="宋体"/>
                <w:snapToGrid/>
                <w:color w:val="000000"/>
                <w:sz w:val="18"/>
                <w:szCs w:val="18"/>
              </w:rPr>
            </w:pPr>
          </w:p>
        </w:tc>
        <w:tc>
          <w:tcPr>
            <w:tcW w:w="5840" w:type="dxa"/>
            <w:vMerge w:val="continue"/>
            <w:tcBorders>
              <w:top w:val="nil"/>
              <w:left w:val="single" w:color="auto" w:sz="4" w:space="0"/>
              <w:bottom w:val="single" w:color="000000" w:sz="4" w:space="0"/>
              <w:right w:val="single" w:color="auto" w:sz="4" w:space="0"/>
            </w:tcBorders>
            <w:vAlign w:val="center"/>
          </w:tcPr>
          <w:p>
            <w:pPr>
              <w:widowControl/>
              <w:autoSpaceDE/>
              <w:autoSpaceDN/>
              <w:snapToGrid/>
              <w:spacing w:line="320" w:lineRule="exact"/>
              <w:ind w:firstLine="0"/>
              <w:jc w:val="left"/>
              <w:rPr>
                <w:rFonts w:ascii="方正仿宋_GBK" w:hAnsi="宋体" w:cs="宋体"/>
                <w:snapToGrid/>
                <w:color w:val="000000"/>
                <w:sz w:val="18"/>
                <w:szCs w:val="18"/>
              </w:rPr>
            </w:pP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color w:val="000000"/>
                <w:sz w:val="18"/>
                <w:szCs w:val="18"/>
              </w:rPr>
            </w:pPr>
            <w:r>
              <w:rPr>
                <w:rFonts w:hint="eastAsia" w:ascii="方正仿宋_GBK" w:hAnsi="宋体" w:cs="宋体"/>
                <w:snapToGrid/>
                <w:color w:val="000000"/>
                <w:sz w:val="18"/>
                <w:szCs w:val="18"/>
              </w:rPr>
              <w:t>南京工程学院</w:t>
            </w:r>
          </w:p>
        </w:tc>
      </w:tr>
      <w:tr>
        <w:tblPrEx>
          <w:tblCellMar>
            <w:top w:w="0" w:type="dxa"/>
            <w:left w:w="108" w:type="dxa"/>
            <w:bottom w:w="0" w:type="dxa"/>
            <w:right w:w="108" w:type="dxa"/>
          </w:tblCellMar>
        </w:tblPrEx>
        <w:trPr>
          <w:trHeight w:val="675" w:hRule="atLeast"/>
        </w:trPr>
        <w:tc>
          <w:tcPr>
            <w:tcW w:w="9560" w:type="dxa"/>
            <w:gridSpan w:val="3"/>
            <w:tcBorders>
              <w:top w:val="nil"/>
              <w:left w:val="nil"/>
              <w:bottom w:val="single" w:color="auto" w:sz="4" w:space="0"/>
              <w:right w:val="nil"/>
            </w:tcBorders>
            <w:shd w:val="clear" w:color="auto" w:fill="auto"/>
            <w:noWrap/>
            <w:vAlign w:val="center"/>
          </w:tcPr>
          <w:p>
            <w:pPr>
              <w:widowControl/>
              <w:autoSpaceDE/>
              <w:autoSpaceDN/>
              <w:snapToGrid/>
              <w:spacing w:line="320" w:lineRule="exact"/>
              <w:ind w:firstLine="0"/>
              <w:jc w:val="center"/>
              <w:rPr>
                <w:rFonts w:ascii="方正小标宋_GBK" w:hAnsi="宋体" w:eastAsia="方正小标宋_GBK" w:cs="宋体"/>
                <w:b/>
                <w:bCs/>
                <w:snapToGrid/>
                <w:color w:val="000000"/>
                <w:sz w:val="22"/>
                <w:szCs w:val="22"/>
              </w:rPr>
            </w:pPr>
            <w:r>
              <w:rPr>
                <w:rFonts w:hint="eastAsia" w:ascii="方正小标宋_GBK" w:hAnsi="宋体" w:eastAsia="方正小标宋_GBK" w:cs="宋体"/>
                <w:b/>
                <w:bCs/>
                <w:snapToGrid/>
                <w:color w:val="000000"/>
                <w:sz w:val="22"/>
                <w:szCs w:val="22"/>
              </w:rPr>
              <w:t>二、一般项目</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方正黑体_GBK" w:hAnsi="宋体" w:eastAsia="方正黑体_GBK" w:cs="宋体"/>
                <w:snapToGrid/>
                <w:sz w:val="18"/>
                <w:szCs w:val="18"/>
              </w:rPr>
            </w:pPr>
            <w:r>
              <w:rPr>
                <w:rFonts w:hint="eastAsia" w:ascii="方正黑体_GBK" w:hAnsi="宋体" w:eastAsia="方正黑体_GBK" w:cs="宋体"/>
                <w:snapToGrid/>
                <w:sz w:val="18"/>
                <w:szCs w:val="18"/>
              </w:rPr>
              <w:t>序号</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方正黑体_GBK" w:hAnsi="宋体" w:eastAsia="方正黑体_GBK" w:cs="宋体"/>
                <w:snapToGrid/>
                <w:sz w:val="18"/>
                <w:szCs w:val="18"/>
              </w:rPr>
            </w:pPr>
            <w:r>
              <w:rPr>
                <w:rFonts w:hint="eastAsia" w:ascii="方正黑体_GBK" w:hAnsi="宋体" w:eastAsia="方正黑体_GBK" w:cs="宋体"/>
                <w:snapToGrid/>
                <w:sz w:val="18"/>
                <w:szCs w:val="18"/>
              </w:rPr>
              <w:t>项目名称</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方正黑体_GBK" w:hAnsi="宋体" w:eastAsia="方正黑体_GBK" w:cs="宋体"/>
                <w:snapToGrid/>
                <w:sz w:val="18"/>
                <w:szCs w:val="18"/>
              </w:rPr>
            </w:pPr>
            <w:r>
              <w:rPr>
                <w:rFonts w:hint="eastAsia" w:ascii="方正黑体_GBK" w:hAnsi="宋体" w:eastAsia="方正黑体_GBK" w:cs="宋体"/>
                <w:snapToGrid/>
                <w:sz w:val="18"/>
                <w:szCs w:val="18"/>
              </w:rPr>
              <w:t>申报单位</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人机共治驱动南京制造业效率提升的组织治理机制与优化路径研究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南京师范大学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2</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南京市高校技术转移机构绩效评价体系构建及实证研究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南京工业大学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3</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南京适航审定技术中心建设的问题及对策研究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南京航空航天大学</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4</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以绩效管理激发公务员干事创业研究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南京市数据局（南京市政务服务管理办公室）</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5</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南京制造业数绿融合的链式跃迁路径与对策研究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南京晓庄学院</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6</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“数智”融合赋能数字档案服务场景创新路径研究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南京市档案馆</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7</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基于专利导航与创新效率评估的南京市人工智能产业创新发展实施路径研究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南京市知识产权保护中心（南京市知识产权维权援助中心）</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8</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南京高校校友资源赋能区域科技成果转化机制研究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南京林业大学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9</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创新驱动高质量发展下南京市新型储能产业新兴技术突破机制及路径研究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河海大学</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10</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南京市低空技术与具身智能融合的创新链布局与推进机制研究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港理大（南京）技术创新研究院有限公司</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11</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南京打造高能级创新枢纽研究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河海大学</w:t>
            </w:r>
          </w:p>
        </w:tc>
      </w:tr>
      <w:tr>
        <w:tblPrEx>
          <w:tblCellMar>
            <w:top w:w="0" w:type="dxa"/>
            <w:left w:w="108" w:type="dxa"/>
            <w:bottom w:w="0" w:type="dxa"/>
            <w:right w:w="108" w:type="dxa"/>
          </w:tblCellMar>
        </w:tblPrEx>
        <w:trPr>
          <w:trHeight w:val="72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12</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美丽南京目标下科技赋能低碳环保产业协同创新机制与实践路径研究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南京市生态环境保护科学研究院（南京市生态环境保护技术评估中心、南京市排污权交易中心）</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13</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南京市发展低空经济的路径研究——基于地方政府产业行为创新视角</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河海大学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14</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南京高校资产公司科技成果转化市场主体法律地位研究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南京林业大学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15</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服务生态理论下面向产业的高校科技信息服务路径研究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东南大学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16</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人工智能时代南京拔尖创新人才发现机制与培养模式创新研究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南京财经大学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17</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南京市低空经济发展中的数据安全风险防控与制度设计研究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南京工程学院</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18</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南京科技小院的创新发展模式与推广路径研究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南京农业大学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19</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南京市独角兽企业发展现状及横向对比研究：未来路径展望</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南京农业大学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20</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国际人才流动背景下南京市科技人才评价体系的国际化改进路径研究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南京财经大学</w:t>
            </w:r>
          </w:p>
        </w:tc>
      </w:tr>
      <w:tr>
        <w:tblPrEx>
          <w:tblCellMar>
            <w:top w:w="0" w:type="dxa"/>
            <w:left w:w="108" w:type="dxa"/>
            <w:bottom w:w="0" w:type="dxa"/>
            <w:right w:w="108" w:type="dxa"/>
          </w:tblCellMar>
        </w:tblPrEx>
        <w:trPr>
          <w:trHeight w:val="525" w:hRule="atLeast"/>
        </w:trPr>
        <w:tc>
          <w:tcPr>
            <w:tcW w:w="9560" w:type="dxa"/>
            <w:gridSpan w:val="3"/>
            <w:tcBorders>
              <w:top w:val="nil"/>
              <w:left w:val="nil"/>
              <w:bottom w:val="single" w:color="auto" w:sz="4" w:space="0"/>
              <w:right w:val="nil"/>
            </w:tcBorders>
            <w:shd w:val="clear" w:color="auto" w:fill="auto"/>
            <w:noWrap/>
            <w:vAlign w:val="center"/>
          </w:tcPr>
          <w:p>
            <w:pPr>
              <w:widowControl/>
              <w:autoSpaceDE/>
              <w:autoSpaceDN/>
              <w:snapToGrid/>
              <w:spacing w:line="320" w:lineRule="exact"/>
              <w:ind w:firstLine="0"/>
              <w:jc w:val="center"/>
              <w:rPr>
                <w:rFonts w:ascii="方正小标宋_GBK" w:hAnsi="宋体" w:eastAsia="方正小标宋_GBK" w:cs="宋体"/>
                <w:b/>
                <w:bCs/>
                <w:snapToGrid/>
                <w:color w:val="000000"/>
                <w:sz w:val="22"/>
                <w:szCs w:val="22"/>
              </w:rPr>
            </w:pPr>
            <w:r>
              <w:rPr>
                <w:rFonts w:hint="eastAsia" w:ascii="方正小标宋_GBK" w:hAnsi="宋体" w:eastAsia="方正小标宋_GBK" w:cs="宋体"/>
                <w:b/>
                <w:bCs/>
                <w:snapToGrid/>
                <w:color w:val="000000"/>
                <w:sz w:val="22"/>
                <w:szCs w:val="22"/>
              </w:rPr>
              <w:t>三、青年项目</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方正黑体_GBK" w:hAnsi="宋体" w:eastAsia="方正黑体_GBK" w:cs="宋体"/>
                <w:snapToGrid/>
                <w:sz w:val="18"/>
                <w:szCs w:val="18"/>
              </w:rPr>
            </w:pPr>
            <w:r>
              <w:rPr>
                <w:rFonts w:hint="eastAsia" w:ascii="方正黑体_GBK" w:hAnsi="宋体" w:eastAsia="方正黑体_GBK" w:cs="宋体"/>
                <w:snapToGrid/>
                <w:sz w:val="18"/>
                <w:szCs w:val="18"/>
              </w:rPr>
              <w:t>序号</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方正黑体_GBK" w:hAnsi="宋体" w:eastAsia="方正黑体_GBK" w:cs="宋体"/>
                <w:snapToGrid/>
                <w:sz w:val="18"/>
                <w:szCs w:val="18"/>
              </w:rPr>
            </w:pPr>
            <w:r>
              <w:rPr>
                <w:rFonts w:hint="eastAsia" w:ascii="方正黑体_GBK" w:hAnsi="宋体" w:eastAsia="方正黑体_GBK" w:cs="宋体"/>
                <w:snapToGrid/>
                <w:sz w:val="18"/>
                <w:szCs w:val="18"/>
              </w:rPr>
              <w:t>项目名称</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方正黑体_GBK" w:hAnsi="宋体" w:eastAsia="方正黑体_GBK" w:cs="宋体"/>
                <w:snapToGrid/>
                <w:sz w:val="18"/>
                <w:szCs w:val="18"/>
              </w:rPr>
            </w:pPr>
            <w:r>
              <w:rPr>
                <w:rFonts w:hint="eastAsia" w:ascii="方正黑体_GBK" w:hAnsi="宋体" w:eastAsia="方正黑体_GBK" w:cs="宋体"/>
                <w:snapToGrid/>
                <w:sz w:val="18"/>
                <w:szCs w:val="18"/>
              </w:rPr>
              <w:t>申报单位</w:t>
            </w:r>
          </w:p>
        </w:tc>
      </w:tr>
      <w:tr>
        <w:tblPrEx>
          <w:tblCellMar>
            <w:top w:w="0" w:type="dxa"/>
            <w:left w:w="108" w:type="dxa"/>
            <w:bottom w:w="0" w:type="dxa"/>
            <w:right w:w="108" w:type="dxa"/>
          </w:tblCellMar>
        </w:tblPrEx>
        <w:trPr>
          <w:trHeight w:val="45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1</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人工智能如何重塑校企合作？——产教融合背景下人才培养质量提升的实证分析</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南京农业大学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2</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产教融合背景下南京校企科技创新人才双向流动机制研究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金陵科技学院</w:t>
            </w:r>
          </w:p>
        </w:tc>
      </w:tr>
      <w:tr>
        <w:tblPrEx>
          <w:tblCellMar>
            <w:top w:w="0" w:type="dxa"/>
            <w:left w:w="108" w:type="dxa"/>
            <w:bottom w:w="0" w:type="dxa"/>
            <w:right w:w="108" w:type="dxa"/>
          </w:tblCellMar>
        </w:tblPrEx>
        <w:trPr>
          <w:trHeight w:val="45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3</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南京产业创新载体科产教融合堵点疏通研究—— 基于卓越工程师协同培养的实证分析</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南京工业大学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4</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知识产权赋能南京低空经济高质量发展的内在机理与实现路径研究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南京理工大学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5</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科技成果概念验证模式与服务体系研究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南京工业大学</w:t>
            </w:r>
          </w:p>
        </w:tc>
      </w:tr>
      <w:tr>
        <w:tblPrEx>
          <w:tblCellMar>
            <w:top w:w="0" w:type="dxa"/>
            <w:left w:w="108" w:type="dxa"/>
            <w:bottom w:w="0" w:type="dxa"/>
            <w:right w:w="108" w:type="dxa"/>
          </w:tblCellMar>
        </w:tblPrEx>
        <w:trPr>
          <w:trHeight w:val="45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6</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南京高端装备制造业“数实融合”实现路径及“以数强实”政策支持体系优化研究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南京财经大学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7</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南京扩大科技服务业对外开放对策研究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南京市科技信息研究所</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8</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人工智能助推南京市数字消费产业高质量发展的机制与路径研究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南京晓庄学院</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9</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南京制造企业以创新驱动高质量发展的路径和政策引导机制研究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河海大学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eastAsia="宋体"/>
                <w:snapToGrid/>
                <w:sz w:val="18"/>
                <w:szCs w:val="18"/>
              </w:rPr>
            </w:pPr>
            <w:r>
              <w:rPr>
                <w:rFonts w:eastAsia="宋体"/>
                <w:snapToGrid/>
                <w:sz w:val="18"/>
                <w:szCs w:val="18"/>
              </w:rPr>
              <w:t>10</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碳关税冲击下南京“新三样”产业绿色竞争力提升的政策创新体系研究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南京农业大学</w:t>
            </w:r>
          </w:p>
        </w:tc>
      </w:tr>
      <w:tr>
        <w:tblPrEx>
          <w:tblCellMar>
            <w:top w:w="0" w:type="dxa"/>
            <w:left w:w="108" w:type="dxa"/>
            <w:bottom w:w="0" w:type="dxa"/>
            <w:right w:w="108" w:type="dxa"/>
          </w:tblCellMar>
        </w:tblPrEx>
        <w:trPr>
          <w:trHeight w:val="555" w:hRule="atLeast"/>
        </w:trPr>
        <w:tc>
          <w:tcPr>
            <w:tcW w:w="9560" w:type="dxa"/>
            <w:gridSpan w:val="3"/>
            <w:tcBorders>
              <w:top w:val="nil"/>
              <w:left w:val="nil"/>
              <w:bottom w:val="single" w:color="auto" w:sz="4" w:space="0"/>
              <w:right w:val="nil"/>
            </w:tcBorders>
            <w:shd w:val="clear" w:color="auto" w:fill="auto"/>
            <w:noWrap/>
            <w:vAlign w:val="center"/>
          </w:tcPr>
          <w:p>
            <w:pPr>
              <w:widowControl/>
              <w:autoSpaceDE/>
              <w:autoSpaceDN/>
              <w:snapToGrid/>
              <w:spacing w:line="320" w:lineRule="exact"/>
              <w:ind w:firstLine="0"/>
              <w:jc w:val="center"/>
              <w:rPr>
                <w:rFonts w:ascii="方正小标宋_GBK" w:hAnsi="宋体" w:eastAsia="方正小标宋_GBK" w:cs="宋体"/>
                <w:b/>
                <w:bCs/>
                <w:snapToGrid/>
                <w:color w:val="000000"/>
                <w:sz w:val="22"/>
                <w:szCs w:val="22"/>
              </w:rPr>
            </w:pPr>
            <w:r>
              <w:rPr>
                <w:rFonts w:hint="eastAsia" w:ascii="方正小标宋_GBK" w:hAnsi="宋体" w:eastAsia="方正小标宋_GBK" w:cs="宋体"/>
                <w:b/>
                <w:bCs/>
                <w:snapToGrid/>
                <w:color w:val="000000"/>
                <w:sz w:val="22"/>
                <w:szCs w:val="22"/>
              </w:rPr>
              <w:t>四、指导性项目</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南京加快重大科技基础设施培育的思路对策研究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南京农业大学</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2</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数字平台驱动居家养老服务整合供给的机制和优化路径研究 ——以南京市虚拟养老院模式为例</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南京农业大学</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3</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企业家精神引领南京高新技术企业商业模式创新的内在机理与实践路径研究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金陵科技学院</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4</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南京打造国内领先创新型产业集群的实践路径</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南京市火炬高技术产业开发中心</w:t>
            </w:r>
          </w:p>
        </w:tc>
      </w:tr>
      <w:tr>
        <w:tblPrEx>
          <w:tblCellMar>
            <w:top w:w="0" w:type="dxa"/>
            <w:left w:w="108" w:type="dxa"/>
            <w:bottom w:w="0" w:type="dxa"/>
            <w:right w:w="108" w:type="dxa"/>
          </w:tblCellMar>
        </w:tblPrEx>
        <w:trPr>
          <w:trHeight w:val="72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5</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基于扩围的南京碳市场现状问题及对策研究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南京市生态环境保护科学研究院（南京市生态环境保护技术评估中心、南京市排污权交易中心）</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6</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南京市生产性服务业集聚赋能新质生产力发展的机制研究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南京师范大学</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7</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新质生产力赋能高水平医院建设的实施路径研究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江苏省中医院（江苏省中医临床研究院）</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8</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人工智能赋能口腔正畸诊疗和风险管理</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南京市口腔医院</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9</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生成式人工智能驱动下高水平科技人才培养的理论逻辑与实践路径</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南京晓庄学院</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10</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创新方法赋能南京战略性新兴产业高质量发展路径研究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江苏省新质生产力促进中心</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11</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数据确权视角下的南京市低空经济发展水平统计指标体系研究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南京财经大学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12</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南京无人驾驶技术的创新应用与政策监管研究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河海大学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13</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南京市产学研医协同创新网络演化机制研究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南京市科技信息研究所</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14</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南京市不同建设主体概念验证中心长效运行研究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南京市科技信息研究所</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15</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南京推动公共数据赋能新质生产力发展的路径和对策研究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南京理工大学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16</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南京市产学研深度融合创新联合体的构建、融合与价值共创研究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南京师范大学</w:t>
            </w:r>
          </w:p>
        </w:tc>
      </w:tr>
      <w:tr>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napToGrid/>
              <w:spacing w:line="320" w:lineRule="exact"/>
              <w:ind w:firstLine="0"/>
              <w:jc w:val="center"/>
              <w:rPr>
                <w:rFonts w:ascii="宋体" w:hAnsi="宋体" w:eastAsia="宋体" w:cs="宋体"/>
                <w:snapToGrid/>
                <w:sz w:val="18"/>
                <w:szCs w:val="18"/>
              </w:rPr>
            </w:pPr>
            <w:r>
              <w:rPr>
                <w:rFonts w:hint="eastAsia" w:ascii="宋体" w:hAnsi="宋体" w:eastAsia="宋体" w:cs="宋体"/>
                <w:snapToGrid/>
                <w:sz w:val="18"/>
                <w:szCs w:val="18"/>
              </w:rPr>
              <w:t>17</w:t>
            </w:r>
          </w:p>
        </w:tc>
        <w:tc>
          <w:tcPr>
            <w:tcW w:w="584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数据资产化赋能南京科技型中小企业突破式创新研究</w:t>
            </w:r>
          </w:p>
        </w:tc>
        <w:tc>
          <w:tcPr>
            <w:tcW w:w="3120" w:type="dxa"/>
            <w:tcBorders>
              <w:top w:val="nil"/>
              <w:left w:val="nil"/>
              <w:bottom w:val="single" w:color="auto" w:sz="4" w:space="0"/>
              <w:right w:val="single" w:color="auto" w:sz="4" w:space="0"/>
            </w:tcBorders>
            <w:shd w:val="clear" w:color="auto" w:fill="auto"/>
            <w:vAlign w:val="center"/>
          </w:tcPr>
          <w:p>
            <w:pPr>
              <w:widowControl/>
              <w:autoSpaceDE/>
              <w:autoSpaceDN/>
              <w:snapToGrid/>
              <w:spacing w:line="320" w:lineRule="exact"/>
              <w:ind w:firstLine="0"/>
              <w:jc w:val="left"/>
              <w:rPr>
                <w:rFonts w:ascii="方正仿宋_GBK" w:hAnsi="宋体" w:cs="宋体"/>
                <w:snapToGrid/>
                <w:sz w:val="18"/>
                <w:szCs w:val="18"/>
              </w:rPr>
            </w:pPr>
            <w:r>
              <w:rPr>
                <w:rFonts w:hint="eastAsia" w:ascii="方正仿宋_GBK" w:hAnsi="宋体" w:cs="宋体"/>
                <w:snapToGrid/>
                <w:sz w:val="18"/>
                <w:szCs w:val="18"/>
              </w:rPr>
              <w:t>金陵科技学院</w:t>
            </w:r>
          </w:p>
        </w:tc>
      </w:tr>
    </w:tbl>
    <w:p>
      <w:pPr>
        <w:spacing w:line="320" w:lineRule="exact"/>
        <w:ind w:firstLine="0"/>
      </w:pPr>
    </w:p>
    <w:sectPr>
      <w:headerReference r:id="rId7" w:type="first"/>
      <w:footerReference r:id="rId10" w:type="first"/>
      <w:headerReference r:id="rId5" w:type="default"/>
      <w:footerReference r:id="rId8" w:type="default"/>
      <w:headerReference r:id="rId6" w:type="even"/>
      <w:footerReference r:id="rId9" w:type="even"/>
      <w:pgSz w:w="11906" w:h="16838"/>
      <w:pgMar w:top="1814" w:right="1531" w:bottom="1985" w:left="1531" w:header="720" w:footer="1474" w:gutter="0"/>
      <w:paperSrc w:first="4"/>
      <w:pgNumType w:start="1"/>
      <w:cols w:space="720" w:num="1"/>
      <w:titlePg/>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汉鼎简黑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right"/>
    </w:pP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rPr>
        <w:rFonts w:hint="eastAsia"/>
      </w:rPr>
    </w:pPr>
    <w:r>
      <w:rPr>
        <w:rFonts w:hint="eastAsia"/>
      </w:rPr>
      <w:t>—</w:t>
    </w:r>
    <w:r>
      <w:t xml:space="preserve"> </w:t>
    </w:r>
    <w:r>
      <w:fldChar w:fldCharType="begin"/>
    </w:r>
    <w:r>
      <w:instrText xml:space="preserve">PAGE   \* MERGEFORMAT</w:instrText>
    </w:r>
    <w:r>
      <w:fldChar w:fldCharType="separate"/>
    </w:r>
    <w:r>
      <w:rPr>
        <w:lang w:val="zh-CN"/>
      </w:rPr>
      <w:t>2</w:t>
    </w:r>
    <w:r>
      <w:fldChar w:fldCharType="end"/>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320" w:leftChars="100" w:right="320" w:rightChars="100"/>
      <w:jc w:val="right"/>
      <w:rPr>
        <w:rFonts w:hint="eastAsia" w:ascii="方正仿宋_GBK"/>
      </w:rPr>
    </w:pPr>
    <w:r>
      <w:rPr>
        <w:rFonts w:hint="eastAsia" w:ascii="方正仿宋_GBK"/>
      </w:rPr>
      <w:t xml:space="preserve">— </w:t>
    </w:r>
    <w:r>
      <w:fldChar w:fldCharType="begin"/>
    </w:r>
    <w:r>
      <w:instrText xml:space="preserve">PAGE   \* MERGEFORMAT</w:instrText>
    </w:r>
    <w:r>
      <w:fldChar w:fldCharType="separate"/>
    </w:r>
    <w:r>
      <w:rPr>
        <w:lang w:val="zh-CN"/>
      </w:rPr>
      <w:t>1</w:t>
    </w:r>
    <w:r>
      <w:fldChar w:fldCharType="end"/>
    </w:r>
    <w:r>
      <w:rPr>
        <w:rFonts w:hint="eastAsia" w:ascii="方正仿宋_GBK"/>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line="400" w:lineRule="atLeast"/>
      <w:jc w:val="right"/>
      <w:rPr>
        <w:rFonts w:ascii="方正黑体_GBK" w:eastAsia="方正黑体_GBK"/>
        <w:color w:val="FFFFFF"/>
      </w:rPr>
    </w:pPr>
  </w:p>
  <w:p>
    <w:pPr>
      <w:spacing w:line="400" w:lineRule="atLeast"/>
      <w:jc w:val="right"/>
      <w:rPr>
        <w:rFonts w:ascii="汉鼎简黑体" w:hAnsi="汉鼎简黑体" w:eastAsia="汉鼎简黑体"/>
        <w:color w:va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0E5902"/>
    <w:rsid w:val="000E5902"/>
    <w:rsid w:val="001B208D"/>
    <w:rsid w:val="00371087"/>
    <w:rsid w:val="004349DB"/>
    <w:rsid w:val="006D0B27"/>
    <w:rsid w:val="00721CF9"/>
    <w:rsid w:val="0087160D"/>
    <w:rsid w:val="0089311E"/>
    <w:rsid w:val="00945741"/>
    <w:rsid w:val="00F95E0D"/>
    <w:rsid w:val="6A10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autoSpaceDE/>
      <w:autoSpaceDN/>
      <w:spacing w:line="240" w:lineRule="auto"/>
      <w:ind w:firstLine="0"/>
      <w:jc w:val="left"/>
    </w:pPr>
    <w:rPr>
      <w:rFonts w:asciiTheme="minorHAnsi" w:hAnsiTheme="minorHAnsi" w:eastAsiaTheme="minorEastAsia" w:cstheme="minorBidi"/>
      <w:snapToGrid/>
      <w:kern w:val="2"/>
      <w:sz w:val="18"/>
      <w:szCs w:val="18"/>
    </w:rPr>
  </w:style>
  <w:style w:type="paragraph" w:styleId="3">
    <w:name w:val="header"/>
    <w:basedOn w:val="1"/>
    <w:link w:val="6"/>
    <w:unhideWhenUsed/>
    <w:qFormat/>
    <w:uiPriority w:val="0"/>
    <w:pPr>
      <w:pBdr>
        <w:bottom w:val="single" w:color="auto" w:sz="6" w:space="1"/>
      </w:pBdr>
      <w:tabs>
        <w:tab w:val="center" w:pos="4153"/>
        <w:tab w:val="right" w:pos="8306"/>
      </w:tabs>
      <w:autoSpaceDE/>
      <w:autoSpaceDN/>
      <w:spacing w:line="240" w:lineRule="auto"/>
      <w:ind w:firstLine="0"/>
      <w:jc w:val="center"/>
    </w:pPr>
    <w:rPr>
      <w:rFonts w:asciiTheme="minorHAnsi" w:hAnsiTheme="minorHAnsi" w:eastAsiaTheme="minorEastAsia" w:cstheme="minorBidi"/>
      <w:snapToGrid/>
      <w:kern w:val="2"/>
      <w:sz w:val="18"/>
      <w:szCs w:val="18"/>
    </w:rPr>
  </w:style>
  <w:style w:type="character" w:customStyle="1" w:styleId="6">
    <w:name w:val="页眉 Char"/>
    <w:basedOn w:val="5"/>
    <w:link w:val="3"/>
    <w:uiPriority w:val="0"/>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441</Words>
  <Characters>2517</Characters>
  <Lines>20</Lines>
  <Paragraphs>5</Paragraphs>
  <TotalTime>176</TotalTime>
  <ScaleCrop>false</ScaleCrop>
  <LinksUpToDate>false</LinksUpToDate>
  <CharactersWithSpaces>2953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2025-09-28T03:20:00Z</dcterms:created>
  <dc:creator>微软用户</dc:creator>
  <cp:lastModifiedBy>win20</cp:lastModifiedBy>
  <dcterms:modified xsi:type="dcterms:W3CDTF">2025-09-18T21:11:45Z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KSOProductBuildVer">
    <vt:lpwstr>2052-12.1.0.16120</vt:lpwstr>
  </property>
  <property fmtid="{D5CDD505-2E9C-101B-9397-08002B2CF9AE}" pid="4" name="ICV">
    <vt:lpwstr>1818442495424A2BAADE8E00B59A09FF_12</vt:lpwstr>
  </property>
</Properties>
</file>