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0624F">
      <w:pPr>
        <w:widowControl/>
        <w:spacing w:line="280" w:lineRule="exact"/>
        <w:ind w:firstLine="1716" w:firstLineChars="715"/>
        <w:rPr>
          <w:rFonts w:ascii="Times New Roman" w:hAnsi="Times New Roman" w:eastAsia="仿宋_GB2312" w:cs="Times New Roman"/>
          <w:sz w:val="24"/>
          <w:szCs w:val="30"/>
        </w:rPr>
      </w:pPr>
      <w:bookmarkStart w:id="0" w:name="OLE_LINK1"/>
      <w:bookmarkStart w:id="1" w:name="OLE_LINK2"/>
      <w:bookmarkStart w:id="2" w:name="OLE_LINK3"/>
    </w:p>
    <w:tbl>
      <w:tblPr>
        <w:tblStyle w:val="11"/>
        <w:tblW w:w="91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3"/>
        <w:gridCol w:w="1946"/>
      </w:tblGrid>
      <w:tr w14:paraId="4F8D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253" w:type="dxa"/>
            <w:vAlign w:val="center"/>
          </w:tcPr>
          <w:p w14:paraId="758BE916">
            <w:pPr>
              <w:widowControl/>
              <w:spacing w:before="100" w:beforeAutospacing="1" w:after="100" w:afterAutospacing="1" w:line="1000" w:lineRule="exact"/>
              <w:jc w:val="distribute"/>
              <w:rPr>
                <w:rFonts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</w:pPr>
            <w:r>
              <w:rPr>
                <w:rFonts w:hint="eastAsia"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  <w:t>南京市科学技术局</w:t>
            </w:r>
          </w:p>
        </w:tc>
        <w:tc>
          <w:tcPr>
            <w:tcW w:w="1946" w:type="dxa"/>
            <w:vMerge w:val="restart"/>
            <w:vAlign w:val="center"/>
          </w:tcPr>
          <w:p w14:paraId="4C1CB41E">
            <w:pPr>
              <w:widowControl/>
              <w:spacing w:before="100" w:beforeAutospacing="1" w:after="100" w:afterAutospacing="1" w:line="1200" w:lineRule="exact"/>
              <w:jc w:val="right"/>
              <w:rPr>
                <w:rFonts w:ascii="方正小标宋_GBK" w:hAnsi="华文中宋" w:eastAsia="方正小标宋_GBK"/>
                <w:bCs/>
                <w:color w:val="FF0000"/>
                <w:spacing w:val="-40"/>
                <w:w w:val="80"/>
                <w:sz w:val="110"/>
                <w:szCs w:val="110"/>
              </w:rPr>
            </w:pPr>
            <w:r>
              <w:rPr>
                <w:rFonts w:hint="eastAsia" w:ascii="方正小标宋_GBK" w:hAnsi="华文中宋" w:eastAsia="方正小标宋_GBK"/>
                <w:bCs/>
                <w:color w:val="FF0000"/>
                <w:spacing w:val="-40"/>
                <w:w w:val="80"/>
                <w:sz w:val="110"/>
                <w:szCs w:val="110"/>
              </w:rPr>
              <w:t>文件</w:t>
            </w:r>
          </w:p>
        </w:tc>
      </w:tr>
      <w:tr w14:paraId="40C77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253" w:type="dxa"/>
            <w:vAlign w:val="center"/>
          </w:tcPr>
          <w:p w14:paraId="1EC199FD">
            <w:pPr>
              <w:widowControl/>
              <w:spacing w:before="100" w:beforeAutospacing="1" w:after="100" w:afterAutospacing="1" w:line="1000" w:lineRule="exact"/>
              <w:jc w:val="distribute"/>
              <w:rPr>
                <w:rFonts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</w:pPr>
            <w:r>
              <w:rPr>
                <w:rFonts w:hint="eastAsia"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  <w:t>南京市工业和信息化局</w:t>
            </w:r>
          </w:p>
        </w:tc>
        <w:tc>
          <w:tcPr>
            <w:tcW w:w="1946" w:type="dxa"/>
            <w:vMerge w:val="continue"/>
            <w:vAlign w:val="center"/>
          </w:tcPr>
          <w:p w14:paraId="26A69A9E">
            <w:pPr>
              <w:widowControl/>
              <w:spacing w:before="100" w:beforeAutospacing="1" w:after="100" w:afterAutospacing="1" w:line="600" w:lineRule="exact"/>
              <w:rPr>
                <w:rFonts w:eastAsia="华文中宋"/>
                <w:b/>
                <w:bCs/>
                <w:color w:val="FF0000"/>
                <w:spacing w:val="-40"/>
                <w:w w:val="95"/>
                <w:sz w:val="70"/>
                <w:szCs w:val="70"/>
              </w:rPr>
            </w:pPr>
          </w:p>
        </w:tc>
      </w:tr>
      <w:tr w14:paraId="4C0AA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253" w:type="dxa"/>
            <w:vAlign w:val="center"/>
          </w:tcPr>
          <w:p w14:paraId="7F642058">
            <w:pPr>
              <w:widowControl/>
              <w:spacing w:before="100" w:beforeAutospacing="1" w:after="100" w:afterAutospacing="1" w:line="1000" w:lineRule="exact"/>
              <w:jc w:val="distribute"/>
              <w:rPr>
                <w:rFonts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</w:pPr>
            <w:r>
              <w:rPr>
                <w:rFonts w:hint="eastAsia"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  <w:t>南京市卫生健康委员会</w:t>
            </w:r>
          </w:p>
        </w:tc>
        <w:tc>
          <w:tcPr>
            <w:tcW w:w="1946" w:type="dxa"/>
            <w:vMerge w:val="continue"/>
            <w:vAlign w:val="center"/>
          </w:tcPr>
          <w:p w14:paraId="60ABCE58">
            <w:pPr>
              <w:widowControl/>
              <w:spacing w:before="100" w:beforeAutospacing="1" w:after="100" w:afterAutospacing="1" w:line="600" w:lineRule="exact"/>
              <w:rPr>
                <w:rFonts w:eastAsia="华文中宋"/>
                <w:b/>
                <w:bCs/>
                <w:color w:val="FF0000"/>
                <w:spacing w:val="-40"/>
                <w:w w:val="95"/>
                <w:sz w:val="70"/>
                <w:szCs w:val="70"/>
              </w:rPr>
            </w:pPr>
          </w:p>
        </w:tc>
      </w:tr>
      <w:tr w14:paraId="46B72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253" w:type="dxa"/>
            <w:vAlign w:val="center"/>
          </w:tcPr>
          <w:p w14:paraId="50D1685B">
            <w:pPr>
              <w:widowControl/>
              <w:spacing w:before="100" w:beforeAutospacing="1" w:after="100" w:afterAutospacing="1" w:line="1000" w:lineRule="exact"/>
              <w:jc w:val="distribute"/>
              <w:rPr>
                <w:rFonts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</w:pPr>
            <w:r>
              <w:rPr>
                <w:rFonts w:hint="eastAsia"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  <w:t>南京市市场监督管理局</w:t>
            </w:r>
          </w:p>
        </w:tc>
        <w:tc>
          <w:tcPr>
            <w:tcW w:w="1946" w:type="dxa"/>
            <w:vMerge w:val="continue"/>
            <w:vAlign w:val="center"/>
          </w:tcPr>
          <w:p w14:paraId="66832DF1">
            <w:pPr>
              <w:widowControl/>
              <w:spacing w:before="100" w:beforeAutospacing="1" w:after="100" w:afterAutospacing="1" w:line="600" w:lineRule="exact"/>
              <w:rPr>
                <w:rFonts w:eastAsia="华文中宋"/>
                <w:b/>
                <w:bCs/>
                <w:color w:val="FF0000"/>
                <w:spacing w:val="-40"/>
                <w:w w:val="95"/>
                <w:sz w:val="70"/>
                <w:szCs w:val="70"/>
              </w:rPr>
            </w:pPr>
          </w:p>
        </w:tc>
      </w:tr>
      <w:tr w14:paraId="472CB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253" w:type="dxa"/>
            <w:vAlign w:val="center"/>
          </w:tcPr>
          <w:p w14:paraId="78DD12A0">
            <w:pPr>
              <w:widowControl/>
              <w:spacing w:before="100" w:beforeAutospacing="1" w:after="100" w:afterAutospacing="1" w:line="1000" w:lineRule="exact"/>
              <w:jc w:val="distribute"/>
              <w:rPr>
                <w:rFonts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</w:pPr>
            <w:r>
              <w:rPr>
                <w:rFonts w:hint="eastAsia"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  <w:t>南京市医疗保障局</w:t>
            </w:r>
          </w:p>
        </w:tc>
        <w:tc>
          <w:tcPr>
            <w:tcW w:w="1946" w:type="dxa"/>
            <w:vMerge w:val="continue"/>
            <w:vAlign w:val="center"/>
          </w:tcPr>
          <w:p w14:paraId="5F18F4B0">
            <w:pPr>
              <w:widowControl/>
              <w:spacing w:before="100" w:beforeAutospacing="1" w:after="100" w:afterAutospacing="1" w:line="600" w:lineRule="exact"/>
              <w:rPr>
                <w:rFonts w:eastAsia="华文中宋"/>
                <w:b/>
                <w:bCs/>
                <w:color w:val="FF0000"/>
                <w:spacing w:val="-40"/>
                <w:w w:val="95"/>
                <w:sz w:val="70"/>
                <w:szCs w:val="70"/>
              </w:rPr>
            </w:pPr>
          </w:p>
        </w:tc>
      </w:tr>
      <w:tr w14:paraId="6DBA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253" w:type="dxa"/>
            <w:vAlign w:val="center"/>
          </w:tcPr>
          <w:p w14:paraId="36B70A2E">
            <w:pPr>
              <w:widowControl/>
              <w:spacing w:before="100" w:beforeAutospacing="1" w:after="100" w:afterAutospacing="1" w:line="1000" w:lineRule="exact"/>
              <w:jc w:val="distribute"/>
              <w:rPr>
                <w:rFonts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</w:pPr>
            <w:r>
              <w:rPr>
                <w:rFonts w:hint="eastAsia" w:ascii="方正小标宋_GBK" w:eastAsia="方正小标宋_GBK"/>
                <w:bCs/>
                <w:color w:val="FF0000"/>
                <w:spacing w:val="-40"/>
                <w:w w:val="95"/>
                <w:sz w:val="80"/>
                <w:szCs w:val="80"/>
              </w:rPr>
              <w:t>南京市残疾人联合会</w:t>
            </w:r>
          </w:p>
        </w:tc>
        <w:tc>
          <w:tcPr>
            <w:tcW w:w="1946" w:type="dxa"/>
            <w:vMerge w:val="continue"/>
            <w:vAlign w:val="center"/>
          </w:tcPr>
          <w:p w14:paraId="639E33AB">
            <w:pPr>
              <w:widowControl/>
              <w:spacing w:before="100" w:beforeAutospacing="1" w:after="100" w:afterAutospacing="1" w:line="600" w:lineRule="exact"/>
              <w:rPr>
                <w:rFonts w:eastAsia="华文中宋"/>
                <w:b/>
                <w:bCs/>
                <w:color w:val="FF0000"/>
                <w:spacing w:val="-40"/>
                <w:w w:val="95"/>
                <w:sz w:val="70"/>
                <w:szCs w:val="70"/>
              </w:rPr>
            </w:pPr>
          </w:p>
        </w:tc>
      </w:tr>
    </w:tbl>
    <w:p w14:paraId="440A020A">
      <w:pPr>
        <w:widowControl/>
        <w:spacing w:line="280" w:lineRule="exact"/>
        <w:ind w:firstLine="2145" w:firstLineChars="715"/>
        <w:rPr>
          <w:rFonts w:ascii="Times New Roman" w:hAnsi="Times New Roman" w:eastAsia="仿宋_GB2312" w:cs="Times New Roman"/>
          <w:sz w:val="30"/>
          <w:szCs w:val="30"/>
        </w:rPr>
      </w:pPr>
    </w:p>
    <w:p w14:paraId="422A3443">
      <w:pPr>
        <w:widowControl/>
        <w:spacing w:line="500" w:lineRule="exact"/>
        <w:ind w:firstLine="160" w:firstLineChars="50"/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宁科〔</w:t>
      </w:r>
      <w:r>
        <w:rPr>
          <w:rFonts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〕1</w:t>
      </w:r>
      <w:r>
        <w:rPr>
          <w:rFonts w:ascii="Times New Roman" w:hAnsi="Times New Roman" w:eastAsia="方正仿宋_GBK" w:cs="Times New Roman"/>
          <w:sz w:val="32"/>
          <w:szCs w:val="32"/>
        </w:rPr>
        <w:t>48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0262EB13">
      <w:pPr>
        <w:widowControl/>
        <w:spacing w:line="280" w:lineRule="exact"/>
        <w:ind w:firstLine="1501" w:firstLineChars="715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63500</wp:posOffset>
                </wp:positionV>
                <wp:extent cx="5581650" cy="0"/>
                <wp:effectExtent l="20320" t="15875" r="17780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5pt;height:0pt;width:439.5pt;z-index:251659264;mso-width-relative:page;mso-height-relative:page;" filled="f" stroked="t" coordsize="21600,21600" o:gfxdata="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anKdtQAAAAHAQAA&#10;DwAAAAAAAAABACAAAAAiAAAAZHJzL2Rvd25yZXYueG1sUEsBAhQAFAAAAAgAh07iQN53O73kAQAA&#10;qwMAAA4AAAAAAAAAAQAgAAAAIwEAAGRycy9lMm9Eb2MueG1sUEsFBgAAAAAGAAYAWQEAAHkFAAAA&#10;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楷体_GB2312" w:cs="Times New Roman"/>
          <w:sz w:val="30"/>
          <w:szCs w:val="30"/>
        </w:rPr>
        <w:t xml:space="preserve">                                 </w:t>
      </w:r>
    </w:p>
    <w:p w14:paraId="76ADFBF1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pacing w:val="-10"/>
          <w:kern w:val="0"/>
          <w:sz w:val="44"/>
          <w:szCs w:val="44"/>
        </w:rPr>
      </w:pPr>
    </w:p>
    <w:p w14:paraId="6ED88FD6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关于印发《南京市推进脑机接口产业创新突破行动方案（2026-2030年）》的通知</w:t>
      </w:r>
    </w:p>
    <w:p w14:paraId="76BD825E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5BC53F47">
      <w:pPr>
        <w:spacing w:line="600" w:lineRule="exac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各区人民政府、江北新区管委会，市府各委办局、市各直属单位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：</w:t>
      </w:r>
    </w:p>
    <w:p w14:paraId="2259F9B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为抢抓脑机接口发展机遇，打造产业创新高地，培育未来经济增长极。经市政府同意，市科技局、市工信局、市卫健委、市市场监管局、市医保局、市残联联合制定了《南京市推进脑机接口产业创新突破行动方案（2026-2030年）》，现印发给你们，请结合实际认真组织实施。</w:t>
      </w:r>
    </w:p>
    <w:p w14:paraId="39AB69E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（此页无正文）</w:t>
      </w:r>
    </w:p>
    <w:p w14:paraId="7B0AF2A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 w14:paraId="68FCF287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tbl>
      <w:tblPr>
        <w:tblStyle w:val="12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 w14:paraId="4E17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69" w:type="dxa"/>
            <w:vAlign w:val="center"/>
          </w:tcPr>
          <w:p w14:paraId="5882CE67">
            <w:pPr>
              <w:spacing w:line="59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bidi="ar"/>
              </w:rPr>
              <w:t>南京市科学技术局</w:t>
            </w:r>
          </w:p>
        </w:tc>
        <w:tc>
          <w:tcPr>
            <w:tcW w:w="3969" w:type="dxa"/>
            <w:vAlign w:val="center"/>
          </w:tcPr>
          <w:p w14:paraId="3945571E">
            <w:pPr>
              <w:spacing w:line="59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bidi="ar"/>
              </w:rPr>
              <w:t>南京市工业和信息化局</w:t>
            </w:r>
          </w:p>
        </w:tc>
      </w:tr>
    </w:tbl>
    <w:p w14:paraId="0C13CCB4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 w14:paraId="63F76B10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tbl>
      <w:tblPr>
        <w:tblStyle w:val="12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 w14:paraId="00AA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69" w:type="dxa"/>
            <w:vAlign w:val="center"/>
          </w:tcPr>
          <w:p w14:paraId="7AD1E969">
            <w:pPr>
              <w:spacing w:line="59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bidi="ar"/>
              </w:rPr>
              <w:t>南京市卫生健康委员会</w:t>
            </w:r>
          </w:p>
        </w:tc>
        <w:tc>
          <w:tcPr>
            <w:tcW w:w="3969" w:type="dxa"/>
            <w:vAlign w:val="center"/>
          </w:tcPr>
          <w:p w14:paraId="561DDFB0">
            <w:pPr>
              <w:spacing w:line="59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bidi="ar"/>
              </w:rPr>
              <w:t>南京市市场监督管理局</w:t>
            </w:r>
          </w:p>
        </w:tc>
      </w:tr>
    </w:tbl>
    <w:p w14:paraId="2F788727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 w14:paraId="3DD0A9C4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tbl>
      <w:tblPr>
        <w:tblStyle w:val="12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3969"/>
      </w:tblGrid>
      <w:tr w14:paraId="3C8F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69" w:type="dxa"/>
            <w:vAlign w:val="center"/>
          </w:tcPr>
          <w:p w14:paraId="3B5B70AB">
            <w:pPr>
              <w:spacing w:line="59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bidi="ar"/>
              </w:rPr>
              <w:t>南京市医疗保障局</w:t>
            </w:r>
          </w:p>
        </w:tc>
        <w:tc>
          <w:tcPr>
            <w:tcW w:w="3969" w:type="dxa"/>
            <w:vAlign w:val="center"/>
          </w:tcPr>
          <w:p w14:paraId="1C97DB11">
            <w:pPr>
              <w:spacing w:line="59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bidi="ar"/>
              </w:rPr>
              <w:t>南京市残疾人联合会</w:t>
            </w:r>
          </w:p>
        </w:tc>
      </w:tr>
    </w:tbl>
    <w:p w14:paraId="29B64026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 w14:paraId="5F154699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 w14:paraId="3BE24E67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 w14:paraId="5B6366A4">
      <w:pPr>
        <w:spacing w:line="590" w:lineRule="exact"/>
        <w:ind w:firstLine="5100" w:firstLineChars="1594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5年12月22日</w:t>
      </w:r>
      <w:bookmarkEnd w:id="0"/>
      <w:bookmarkEnd w:id="1"/>
      <w:bookmarkEnd w:id="2"/>
    </w:p>
    <w:p w14:paraId="537A0F3F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701" w:left="1588" w:header="850" w:footer="1247" w:gutter="0"/>
          <w:cols w:space="720" w:num="1"/>
          <w:docGrid w:type="lines" w:linePitch="312" w:charSpace="0"/>
        </w:sectPr>
      </w:pPr>
    </w:p>
    <w:p w14:paraId="13FCB245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1298390C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南京市推进脑机接口产业创新突破</w:t>
      </w:r>
    </w:p>
    <w:p w14:paraId="2C51D213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行动方案（202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6</w:t>
      </w:r>
      <w:r>
        <w:rPr>
          <w:rFonts w:ascii="Times New Roman" w:hAnsi="Times New Roman" w:eastAsia="方正小标宋_GBK" w:cs="Times New Roman"/>
          <w:sz w:val="44"/>
          <w:szCs w:val="44"/>
        </w:rPr>
        <w:t>-2030年）</w:t>
      </w:r>
    </w:p>
    <w:p w14:paraId="28EA93F0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00ED156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脑机接口技术借助神经科学、人工智能、电子信息和功能材料等多学科交叉融合发展，正逐步从实验室走向商业化应用，成为全球科技前沿领域中最受瞩目的增长点之一。为抢抓脑机接口发展机遇，打造产业创新高地，培育未来经济增长极，特制定本行动方案。</w:t>
      </w:r>
    </w:p>
    <w:p w14:paraId="0D924E24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一、主要目标</w:t>
      </w:r>
    </w:p>
    <w:p w14:paraId="1E84A739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以基础研究、应用基础研究为突破点，临床需求为落地点，康养结合为增长点，充分利用南京高校院所、科研平台、医疗机构等优势资源，加速成果转化应用和产业培育集聚，打造全国乃至全球脑机接口产业高地。到2027年，在脑机接口模式、传感器、芯片、算法和系统集成与应用等技术方面取得突破，初步构建脑科学研究生态。引育20个高端人才团队项目；推动5款脑机接口产品完成创新研发和临床试验，进入注册审批阶段；2-3款产品在医疗、康养、教育等领域实现应用；建设2个脑机接口产业集聚园区，3类公共服务平台，打造脑机接口领域科研和转化高地。到2030年，脑机接口技术与应用体系逐渐完善，形成从前沿突破、成果转化到规模化商业应用的产业体系。突破一批关键核心技术和产业瓶颈，推动10款产品进入注册审批阶段、5-8款产品实现应用，培育和引进一批具有核心技术和产品竞争力的自主创新企业，打造全国脑机接口产业创新高地。</w:t>
      </w:r>
    </w:p>
    <w:p w14:paraId="5616668E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二、重点任务</w:t>
      </w:r>
    </w:p>
    <w:p w14:paraId="15ABE742"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（一）强化创新引领，抢占脑机接口前沿赛道</w:t>
      </w:r>
    </w:p>
    <w:p w14:paraId="3CEE3EF9">
      <w:pPr>
        <w:spacing w:line="560" w:lineRule="exact"/>
        <w:ind w:firstLine="643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1.加强基础研究。</w:t>
      </w:r>
      <w:r>
        <w:rPr>
          <w:rFonts w:ascii="Times New Roman" w:hAnsi="Times New Roman" w:eastAsia="方正仿宋_GBK" w:cs="Times New Roman"/>
          <w:sz w:val="32"/>
          <w:szCs w:val="32"/>
        </w:rPr>
        <w:t>集中市内高校院所和医疗机构优势学科（科室），构建脑科学与人工智能，脑医学转化与生物医学工程，神经信息处理与类脑芯片等脑科学全链条跨学科创新矩阵，强化脑科学、神经工程与人工智能等多领域交叉研究，重点攻关高精度神经信号采集与解析、高分辨脑功能动态建模、神经信息大模型、精细脑模拟、精准脑神经调控理论等方向，推动“数字孪生脑”技术落地。聚焦思维意识解码，布局运动控制、感知觉、脑退行性疾病、睡眠与情绪等多维度脑信号解码研究，形成脑控与控脑的全链条技术体系，引领脑信息解码与脑神经类疾病精准调控技术前沿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（责任单位：市科技局、市发改委）</w:t>
      </w:r>
    </w:p>
    <w:p w14:paraId="346267CE">
      <w:pPr>
        <w:spacing w:line="560" w:lineRule="exact"/>
        <w:ind w:firstLine="643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2.突破关键技术。</w:t>
      </w:r>
      <w:r>
        <w:rPr>
          <w:rFonts w:ascii="Times New Roman" w:hAnsi="Times New Roman" w:eastAsia="方正仿宋_GBK" w:cs="Times New Roman"/>
          <w:sz w:val="32"/>
          <w:szCs w:val="32"/>
        </w:rPr>
        <w:t>立足市内产业优势方向，加强创新联合体协同攻关，深化产学研医合作体系，重点围绕高通量低功耗神经信号采集模式、高通量神经信息解析、电光声磁多物理场精准调控、神经反馈信号处理等底层技术研发，以及超柔性电极、脑机接口芯片、信号实时编解码算法、多模态脑模拟平台、神经刺激反馈器件等关键软硬件研发，加快技术转化应用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（责任单位：市科技局、市发改委、市工信局）</w:t>
      </w:r>
    </w:p>
    <w:p w14:paraId="3147FDAC"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（二）推进平台建设，促进产科创新融合发展</w:t>
      </w:r>
    </w:p>
    <w:p w14:paraId="1AB513BB">
      <w:pPr>
        <w:spacing w:line="560" w:lineRule="exact"/>
        <w:ind w:firstLine="643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3.强化前沿技术研发平台建设。</w:t>
      </w:r>
      <w:r>
        <w:rPr>
          <w:rFonts w:ascii="Times New Roman" w:hAnsi="Times New Roman" w:eastAsia="方正仿宋_GBK" w:cs="Times New Roman"/>
          <w:sz w:val="32"/>
          <w:szCs w:val="32"/>
        </w:rPr>
        <w:t>加强江苏省类脑智能技术创新中心建设，重点围绕脑科学高端仪器、类脑计算、脑机交互、脑健康组织开展技术创新。依托多模态脑机精准驱动工信部重点实验室、脑机智能技术教育部重点实验室、江苏省脑机接口重点实验室等平台，联合高校、医疗机构和科研院所三方优势力量，推动脑控康复用智能手、机械臂、义肢假体、助力助行外骨骼等外围设备研发，融合感知觉反馈刺激，探索“脑-机-脑”双向闭环控制接口，实现精准无缝控制。支持鼓楼区与南京大学共建南京大学脑机接口研究院，推进脑科学与信息技术交叉创新研究，在关键核心技术和核心产品方面取得突破性创新成果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（责任单位：市科技局、市卫健委、市发改委，江北新区、鼓楼区）</w:t>
      </w:r>
    </w:p>
    <w:p w14:paraId="1847D8DE">
      <w:pPr>
        <w:spacing w:line="560" w:lineRule="exact"/>
        <w:ind w:firstLine="643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4.加快共性创新和产业服务平台建设。</w:t>
      </w:r>
      <w:r>
        <w:rPr>
          <w:rFonts w:ascii="Times New Roman" w:hAnsi="Times New Roman" w:eastAsia="方正仿宋_GBK" w:cs="Times New Roman"/>
          <w:sz w:val="32"/>
          <w:szCs w:val="32"/>
        </w:rPr>
        <w:t>依托江苏省脑机接口共性创新和产业服务平台，探索布局脑机接口柔性电极微纳加工、动物及仿生实验、高质量脑电数据采集与开放共享、脑神经核团精准调控等。搭建“创新-研发-中试-产业化”生态圈，为科研机构、科技型企业提供优质服务，着力推进脑机接口技术“基础研究-技术研发-临床验证”全链条创新突破，加速科研成果向临床应用高效转化。支持栖霞区与江苏省人民医院共建江苏脑机接口研究院，推动脑机接口技术临床转化与产业化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（责任单位：市科技局、市卫健委，栖霞区）</w:t>
      </w:r>
    </w:p>
    <w:p w14:paraId="47B9ED0F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5.发挥科技成果转化平台效能。</w:t>
      </w:r>
      <w:r>
        <w:rPr>
          <w:rFonts w:ascii="Times New Roman" w:hAnsi="Times New Roman" w:eastAsia="方正仿宋_GBK" w:cs="Times New Roman"/>
          <w:sz w:val="32"/>
          <w:szCs w:val="32"/>
        </w:rPr>
        <w:t>依托全国高校生物医药区域技术转移转化中心（江苏南京）建设契机，将脑机接口技术作为技术成果转化重点方向，主动挖掘全国重点高校院所和重点医疗机构技术成果，量身定制概念验证和中试服务，推动前沿技术集聚转化落地，产出颠覆性技术产品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（责任单位：市科技局、市卫健委，江北新区、鼓楼区、栖霞区）</w:t>
      </w:r>
    </w:p>
    <w:p w14:paraId="1A13B563"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（三）壮大创新主体，构建产城融合发展体系</w:t>
      </w:r>
    </w:p>
    <w:p w14:paraId="47D8BFD3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6.培育产业协同创新联合体。</w:t>
      </w:r>
      <w:r>
        <w:rPr>
          <w:rFonts w:ascii="Times New Roman" w:hAnsi="Times New Roman" w:eastAsia="方正仿宋_GBK" w:cs="Times New Roman"/>
          <w:sz w:val="32"/>
          <w:szCs w:val="32"/>
        </w:rPr>
        <w:t>加快我市脑机接口产业链主企业培育，瞄准产业重点细分领域，积极引进产业链上游龙头企业、骨干企业等优势企业，形成一批具有核心技术和产品竞争力的自主创新企业。强化配套企业和服务企业精准适配，形成和动态完善重点企业培育库，健全全生命周期要素保障体系，加强产业链上中下游有机衔接。支持脑机接口创新联合体建设，激发协同创新活力，构建协同创新机制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（责任单位：市工信局、市投促局、市科技局）</w:t>
      </w:r>
    </w:p>
    <w:p w14:paraId="3CF3001F">
      <w:pPr>
        <w:spacing w:line="560" w:lineRule="exact"/>
        <w:ind w:firstLine="643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7.形成产业链联动发展格局。</w:t>
      </w:r>
      <w:r>
        <w:rPr>
          <w:rFonts w:ascii="Times New Roman" w:hAnsi="Times New Roman" w:eastAsia="方正仿宋_GBK" w:cs="Times New Roman"/>
          <w:sz w:val="32"/>
          <w:szCs w:val="32"/>
        </w:rPr>
        <w:t>支持江北新区依托北大分子医学南京转化院开展基础研究，着力发展类脑智能产业，攻关智能产业关键核心技术，建设成为未来类脑智能产业技术高地。支持鼓楼区高标准建设453地块，联合南京大学、南京脑科医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、南京鼓楼医院</w:t>
      </w:r>
      <w:r>
        <w:rPr>
          <w:rFonts w:ascii="Times New Roman" w:hAnsi="Times New Roman" w:eastAsia="方正仿宋_GBK" w:cs="Times New Roman"/>
          <w:sz w:val="32"/>
          <w:szCs w:val="32"/>
        </w:rPr>
        <w:t>等高校院所、医疗机构和相关龙头企业，结合临床需求开展应用基础研究，推动产学研医融合发展，打造江苏（南京）脑机智能科技创新园。支持栖霞区依托国家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两重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项目“江苏省脑机接口共性创新和产业服务平台”，加快建设专业脑机接口概念验证中心，推动脑机接口项目概念验证和产业化转化，打造江苏脑机接口创新产业园，探索布局脑机接口设备与关键部件生产基地。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（责任单位：市科技局、市工信局，江北新区、鼓楼区、栖霞区）</w:t>
      </w:r>
    </w:p>
    <w:p w14:paraId="2FC80082"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（四）助推临床研究，打造医学转化示范标杆</w:t>
      </w:r>
    </w:p>
    <w:p w14:paraId="55909BC5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8.优化完善伦理审查机制。</w:t>
      </w:r>
      <w:r>
        <w:rPr>
          <w:rFonts w:ascii="Times New Roman" w:hAnsi="Times New Roman" w:eastAsia="方正仿宋_GBK" w:cs="Times New Roman"/>
          <w:sz w:val="32"/>
          <w:szCs w:val="32"/>
        </w:rPr>
        <w:t>优化脑机接口技术伦理审查监管，争取省医学伦理审查专家委员会支持，加强对医疗机构开展脑机接口等前沿技术临床研究伦理审查指导，引导脑机接口研究合规有序开展。在脑机接口技术临床试验和产品定价等关键环节，积极争取国家注册审评前置支持；在检验检测、现场核查等环节，开展跨前服务，加速脑机接口相关产品市场化应用和推广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（责任单位：市卫健委、市市场监管局、市</w:t>
      </w:r>
      <w:bookmarkStart w:id="3" w:name="_GoBack"/>
      <w:bookmarkEnd w:id="3"/>
      <w:r>
        <w:rPr>
          <w:rFonts w:ascii="Times New Roman" w:hAnsi="Times New Roman" w:eastAsia="方正楷体_GBK" w:cs="Times New Roman"/>
          <w:sz w:val="32"/>
          <w:szCs w:val="32"/>
        </w:rPr>
        <w:t>医保局）</w:t>
      </w:r>
    </w:p>
    <w:p w14:paraId="4FA743C2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9.推动脑机接口技术应用和转化研究。</w:t>
      </w:r>
      <w:r>
        <w:rPr>
          <w:rFonts w:ascii="Times New Roman" w:hAnsi="Times New Roman" w:eastAsia="方正仿宋_GBK" w:cs="Times New Roman"/>
          <w:sz w:val="32"/>
          <w:szCs w:val="32"/>
        </w:rPr>
        <w:t>联合江苏省人民医院、南京鼓楼医院、南京脑科医院、东部战区总医院、中大医院等优质医疗资源，开展脑机接口技术落地探索，针对（半）侵入式脑机接口技术，开展运动康复、脑退行性疾病等重症治疗研究；针对非侵入式脑机接口技术，探索睡眠障碍、抑郁、阿尔茨海默等疾病神经调控与认知增强应用。设立脑机接口概念验证平台，推动“医院-企业-高校”协同，建立标准化数据集和共享技术平台，支持创新技术快速验证。支持鼓楼区与南京脑科医院共建临床研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型</w:t>
      </w:r>
      <w:r>
        <w:rPr>
          <w:rFonts w:ascii="Times New Roman" w:hAnsi="Times New Roman" w:eastAsia="方正仿宋_GBK" w:cs="Times New Roman"/>
          <w:sz w:val="32"/>
          <w:szCs w:val="32"/>
        </w:rPr>
        <w:t>病房。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（责任单位：市科技局、市卫健委、市医保局，鼓楼区、栖霞区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、玄武区</w:t>
      </w:r>
      <w:r>
        <w:rPr>
          <w:rFonts w:ascii="Times New Roman" w:hAnsi="Times New Roman" w:eastAsia="方正楷体_GBK" w:cs="Times New Roman"/>
          <w:sz w:val="32"/>
          <w:szCs w:val="32"/>
        </w:rPr>
        <w:t>）</w:t>
      </w:r>
    </w:p>
    <w:p w14:paraId="2BE59B7D"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（五）聚焦场景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打造</w:t>
      </w:r>
      <w:r>
        <w:rPr>
          <w:rFonts w:ascii="Times New Roman" w:hAnsi="Times New Roman" w:eastAsia="方正楷体_GBK" w:cs="Times New Roman"/>
          <w:sz w:val="32"/>
          <w:szCs w:val="32"/>
        </w:rPr>
        <w:t>，加快重点产品落地推广</w:t>
      </w:r>
    </w:p>
    <w:p w14:paraId="406727E7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10.打造医疗康养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综合性应用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场景。</w:t>
      </w:r>
      <w:r>
        <w:rPr>
          <w:rFonts w:ascii="Times New Roman" w:hAnsi="Times New Roman" w:eastAsia="方正仿宋_GBK" w:cs="Times New Roman"/>
          <w:sz w:val="32"/>
          <w:szCs w:val="32"/>
        </w:rPr>
        <w:t>聚焦脑机接口技术在神经、精神疾病诊疗，感官重建和肢体运动障碍等医疗健康场景下的应用规范，明确技术安全性、有效性验证标准。鼓励重点医疗机构开展（非）侵入神经治疗、术前路径规划、深度脑刺激疗法电生理记录和刺激等方面的应用探索；探索脑控外骨骼系统、非侵入式言语假体设备、触觉感知技术赋能智能假肢等多系统融合，在残疾人运动障碍、语言障碍、感觉丧失等领域应用，提高残疾人生活质量和社会参与度。鼓励各类创新主体开展居家自检、社区检查等场景下疾病精准早筛、预测诊断等方面的应用探索。鼓励社区医疗机构依托非侵入式脑机接口相关设备，在助老助残、情绪监管、预后康复等重点方向开展应用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（责任单位：市科技局、市工信局、市卫健委、市医保局、市市场监管局、市残联）</w:t>
      </w:r>
    </w:p>
    <w:p w14:paraId="42E53933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11.打造教育培训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综合性应用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场景。</w:t>
      </w:r>
      <w:r>
        <w:rPr>
          <w:rFonts w:ascii="Times New Roman" w:hAnsi="Times New Roman" w:eastAsia="方正仿宋_GBK" w:cs="Times New Roman"/>
          <w:sz w:val="32"/>
          <w:szCs w:val="32"/>
        </w:rPr>
        <w:t>探索脑机接口技术在个性化学习、注意力监测与训练等教育场景中的应用规范。鼓励开展注意力水平、认知负荷测量、情绪类型识别等学习状态的实时监测应用探索，建立可追踪学习状态的实时反馈系统。鼓励开展注意力、书写、阅读、计算等学习障碍干预应用探索，实现个性化资源、学习同伴、学习路径推荐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（责任单位：市教育局、市工信局、市卫健委）</w:t>
      </w:r>
    </w:p>
    <w:p w14:paraId="4EFFCDE5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12.打造文化生活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综合性应用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场景。</w:t>
      </w:r>
      <w:r>
        <w:rPr>
          <w:rFonts w:ascii="Times New Roman" w:hAnsi="Times New Roman" w:eastAsia="方正仿宋_GBK" w:cs="Times New Roman"/>
          <w:sz w:val="32"/>
          <w:szCs w:val="32"/>
        </w:rPr>
        <w:t>探索脑机接口技术在文化娱乐和智慧生活等领域的应用，如脑机接口结合智能物联、元宇宙、虚拟现实游戏、沉浸式娱乐体验等。鼓励开展睡眠质量监测与干预应用探索，改善用户睡眠质量、个性化睡眠调节、深度放松与冥想辅助等。面向沉浸式游戏与虚拟现实、传统文化保护与创新、‌智能家居控制、“脑-机-环境”协同交互、安全防护与健康管理等文娱生活特色场景，推动脑机接口技术与人工智能、具身智能等技术交叉融合创新，提高“无感交互”重塑娱乐与生活方式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（责任单位：市文旅局、市工信局、市卫健委）</w:t>
      </w:r>
    </w:p>
    <w:p w14:paraId="1C828AD6">
      <w:pPr>
        <w:spacing w:line="560" w:lineRule="exact"/>
        <w:ind w:firstLine="640" w:firstLineChars="200"/>
        <w:rPr>
          <w:rFonts w:ascii="Times New Roman" w:hAnsi="Times New Roman" w:eastAsia="Microsoft YaHei UI" w:cs="Times New Roman"/>
          <w:spacing w:val="5"/>
          <w:sz w:val="18"/>
          <w:szCs w:val="18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（六）构建优良生态，加速未来产业聚链成势</w:t>
      </w:r>
    </w:p>
    <w:p w14:paraId="03640AC8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13.健全产品标准与检测体系。</w:t>
      </w:r>
      <w:r>
        <w:rPr>
          <w:rFonts w:ascii="Times New Roman" w:hAnsi="Times New Roman" w:eastAsia="方正仿宋_GBK" w:cs="Times New Roman"/>
          <w:sz w:val="32"/>
          <w:szCs w:val="32"/>
        </w:rPr>
        <w:t>以标准带动引领产业发展，重点围绕基础共性标准、关键技术标准、场景应用标准、技术治理标准等方面开展建设，构建完备的脑机接口标准体系，培养一流的脑机标准化人才队伍。搭建测试验证平台并营造试验环境，鼓励医疗器械检测机构与高校院所、医疗机构、科研平台和企业多方共建脑机接口产品检测联合实验室，建立并优化脑机接口产品核心指标和检测方法，缩短检验周期，加快产业化推广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（责任单位：市市场监管局、市科技局）</w:t>
      </w:r>
    </w:p>
    <w:p w14:paraId="458DAD09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14.强化专业技术人才引培。</w:t>
      </w:r>
      <w:r>
        <w:rPr>
          <w:rFonts w:ascii="Times New Roman" w:hAnsi="Times New Roman" w:eastAsia="方正仿宋_GBK" w:cs="Times New Roman"/>
          <w:sz w:val="32"/>
          <w:szCs w:val="32"/>
        </w:rPr>
        <w:t>鼓励在宁高校开设脑机接口相关专业和课程，培养多层次、复合型的专业人才。支持高校、科研院所、医疗机构和企业多方合作，联合开展人才培养，建立实习实训基地，提高人才培养的针对性和实用性。制定优惠政策，加大对脑机接口领域高端人才和创新团队的引进力度。为引进人才提供住房、子女教育、医疗等方面的优质服务。鼓励企业通过股权、期权等方式吸引和留住人才，营造良好的人才发展环境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（责任单位：市科技局、市卫健委、市教育局、市工信局、市委组织部（人才办））</w:t>
      </w:r>
    </w:p>
    <w:p w14:paraId="1F87C313">
      <w:pPr>
        <w:spacing w:line="56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15.提升金融与市场支持力度。</w:t>
      </w:r>
      <w:r>
        <w:rPr>
          <w:rFonts w:ascii="Times New Roman" w:hAnsi="Times New Roman" w:eastAsia="方正仿宋_GBK" w:cs="Times New Roman"/>
          <w:sz w:val="32"/>
          <w:szCs w:val="32"/>
        </w:rPr>
        <w:t>引导金融机构加大对脑机接口产业信贷支持力度，创新金融产品和服务，支持脑机接口技术研发、产业创新平台建设、企业培育和应用示范等。鼓励银行开展知识产权质押贷款、科技型中小企业信用贷款等业务，为企业提供融资支持。鼓励相关产业板块因地制宜出台产业发展规划和支持政策，建立专项投资基金。支持符合条件的脑机接口企业通过上市、发行债券等方式直接融资，拓宽企业融资渠道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（责任单位：市委金融办、市市场监管局、市科技局）</w:t>
      </w:r>
    </w:p>
    <w:p w14:paraId="1A43ECD2"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三、保障措施</w:t>
      </w:r>
    </w:p>
    <w:p w14:paraId="17C5674A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（一）加强组织领导。</w:t>
      </w:r>
      <w:r>
        <w:rPr>
          <w:rFonts w:ascii="Times New Roman" w:hAnsi="Times New Roman" w:eastAsia="方正仿宋_GBK" w:cs="Times New Roman"/>
          <w:sz w:val="32"/>
          <w:szCs w:val="32"/>
        </w:rPr>
        <w:t>建立科技、工信、卫健、市场监管、医保等多部门以及江北、鼓楼、栖霞等重点板块长效联动机制，全市一盘棋，统筹协调、协同联动、一体推进。合理规划全市脑机接口产业发展格局，发挥优势、错位竞争，做好重大事项、重点项目、重点企业跟踪服务，加快推动产业集群发展，完善运行监测和考核机制，加强行动计划的组织落实、督促指导和综合评估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（责任单位：市科技局、市工信局、市卫健委、市市场监管局、市医保局）</w:t>
      </w:r>
    </w:p>
    <w:p w14:paraId="1163581F"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（二）提升服务能力。</w:t>
      </w:r>
      <w:r>
        <w:rPr>
          <w:rFonts w:ascii="Times New Roman" w:hAnsi="Times New Roman" w:eastAsia="方正仿宋_GBK" w:cs="Times New Roman"/>
          <w:sz w:val="32"/>
          <w:szCs w:val="32"/>
        </w:rPr>
        <w:t>建设一批专业化、市场化技术转移转化机构，提升科技成果转化能力。针对进入注册和推广阶段的脑机接口产品，建立多部门联合指导小组，开展“陪跑计划”，指导帮助企业在产品临床试用、注册取证、耗材挂网、医疗项目收费、市场推广和真实世界应用评价等方面开展工作。引导医疗器械领域企业，通过战略投资，推动脑机接口创新型企业持续创新发展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（责任单位：市科技局、市工信局、市卫健委、市市场监管局、市医保局）</w:t>
      </w:r>
    </w:p>
    <w:p w14:paraId="054F6E8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（三）推动开放合作。</w:t>
      </w:r>
      <w:r>
        <w:rPr>
          <w:rFonts w:ascii="Times New Roman" w:hAnsi="Times New Roman" w:eastAsia="方正仿宋_GBK" w:cs="Times New Roman"/>
          <w:sz w:val="32"/>
          <w:szCs w:val="32"/>
        </w:rPr>
        <w:t>发挥技术研发、共性创新和产业服务、成果转化3类平台优势，吸引国内外企业在我市开展临床试验，与我市高校院所、企业组建创新联合体，布局概念验证中心、中试基地等，推进技术研发与成果转化。组织脑机接口领域高水平论坛活动，搭建业内专家学者、企业家交流平台。支持各类创新主体在全球范围开展国际交流，加强多渠道合作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（责任单位：市科技局、市卫健委）</w:t>
      </w:r>
    </w:p>
    <w:p w14:paraId="7C29BF6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（四）强化安全监管。</w:t>
      </w:r>
      <w:r>
        <w:rPr>
          <w:rFonts w:ascii="Times New Roman" w:hAnsi="Times New Roman" w:eastAsia="方正仿宋_GBK" w:cs="Times New Roman"/>
          <w:sz w:val="32"/>
          <w:szCs w:val="32"/>
        </w:rPr>
        <w:t>构建覆盖研发、临床试验及市场应用的全周期审查体系，明确数据采集、存储及使用权限边界，落实神经数据匿名化与加密保护要求；同步强化责任追溯机制，落实技术提供方、研究人员数据安全与隐私保护主体责任。通过技术标准与法律规范协同，确保脑机接口在保障神经隐私权的前提下健康发展。</w:t>
      </w:r>
      <w:r>
        <w:rPr>
          <w:rFonts w:ascii="Times New Roman" w:hAnsi="Times New Roman" w:eastAsia="方正楷体_GBK" w:cs="Times New Roman"/>
          <w:sz w:val="32"/>
          <w:szCs w:val="32"/>
        </w:rPr>
        <w:t>（责任单位：市市场监管局、市科技局、市卫健委、市医保局）</w:t>
      </w:r>
    </w:p>
    <w:p w14:paraId="0CE78EC6">
      <w:pPr>
        <w:spacing w:line="560" w:lineRule="exact"/>
        <w:ind w:firstLine="640" w:firstLineChars="200"/>
        <w:rPr>
          <w:rFonts w:ascii="Times New Roman" w:hAnsi="Times New Roman" w:eastAsia="方正仿宋_GBK" w:cstheme="minorBidi"/>
          <w:sz w:val="32"/>
          <w:szCs w:val="24"/>
        </w:rPr>
      </w:pPr>
    </w:p>
    <w:p w14:paraId="54E6B637">
      <w:pPr>
        <w:spacing w:line="560" w:lineRule="exact"/>
        <w:ind w:firstLine="640" w:firstLineChars="200"/>
        <w:rPr>
          <w:rFonts w:ascii="Times New Roman" w:hAnsi="Times New Roman" w:eastAsia="方正仿宋_GBK" w:cstheme="minorBidi"/>
          <w:sz w:val="32"/>
          <w:szCs w:val="24"/>
        </w:rPr>
      </w:pPr>
    </w:p>
    <w:p w14:paraId="40225A33">
      <w:pPr>
        <w:spacing w:line="560" w:lineRule="exact"/>
        <w:ind w:firstLine="640" w:firstLineChars="200"/>
        <w:rPr>
          <w:rFonts w:ascii="Times New Roman" w:hAnsi="Times New Roman" w:eastAsia="方正仿宋_GBK" w:cstheme="minorBidi"/>
          <w:sz w:val="32"/>
          <w:szCs w:val="24"/>
        </w:rPr>
      </w:pPr>
    </w:p>
    <w:p w14:paraId="6A5D0C22">
      <w:pPr>
        <w:spacing w:line="560" w:lineRule="exact"/>
        <w:ind w:firstLine="640" w:firstLineChars="200"/>
        <w:rPr>
          <w:rFonts w:ascii="Times New Roman" w:hAnsi="Times New Roman" w:eastAsia="方正仿宋_GBK" w:cstheme="minorBidi"/>
          <w:sz w:val="32"/>
          <w:szCs w:val="24"/>
        </w:rPr>
      </w:pPr>
    </w:p>
    <w:tbl>
      <w:tblPr>
        <w:tblStyle w:val="11"/>
        <w:tblpPr w:leftFromText="180" w:rightFromText="180" w:vertAnchor="text" w:horzAnchor="page" w:tblpX="1512" w:tblpY="2092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528E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AE69B9">
            <w:pPr>
              <w:spacing w:line="58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南京市科学技术局办公室                     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日印发</w:t>
            </w:r>
          </w:p>
        </w:tc>
      </w:tr>
    </w:tbl>
    <w:p w14:paraId="79DAA20B">
      <w:pPr>
        <w:spacing w:line="560" w:lineRule="exact"/>
        <w:rPr>
          <w:rFonts w:ascii="Times New Roman" w:hAnsi="Times New Roman" w:eastAsia="方正楷体_GBK" w:cs="方正楷体_GBK"/>
          <w:b/>
          <w:bCs/>
          <w:sz w:val="32"/>
          <w:szCs w:val="24"/>
        </w:rPr>
      </w:pPr>
    </w:p>
    <w:sectPr>
      <w:pgSz w:w="11906" w:h="16838"/>
      <w:pgMar w:top="2098" w:right="1588" w:bottom="1701" w:left="1588" w:header="850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F36F23-8D7D-432B-9203-37DB7E6804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A7328CA-3C26-4414-82DE-5A249A482E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5A51162-2212-489D-B73F-CADED4E0D18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1FB160D-46D7-467C-946D-10BB59D482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EAC4D4A-01ED-480C-B13F-2548E977611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3DE6BE2D-5694-41EA-9E41-200FDFD6769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4C2EA9A2-A6F5-4ACF-94BF-FE452343C6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27CB0B14-3607-4AD1-A4E4-0A616D82554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9D97B0F9-E139-4BB0-8831-03958A1F7929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0" w:fontKey="{EDD17267-1DAD-4C9F-A3BA-B205BF4DC39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0BCA2">
    <w:pPr>
      <w:pStyle w:val="7"/>
      <w:wordWrap w:val="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Style w:val="14"/>
        <w:rFonts w:ascii="Times New Roman" w:hAnsi="Times New Roman" w:cs="Times New Roman"/>
        <w:sz w:val="28"/>
        <w:szCs w:val="28"/>
      </w:rPr>
      <w:fldChar w:fldCharType="begin"/>
    </w:r>
    <w:r>
      <w:rPr>
        <w:rStyle w:val="14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14"/>
        <w:rFonts w:ascii="Times New Roman" w:hAnsi="Times New Roman" w:cs="Times New Roman"/>
        <w:sz w:val="28"/>
        <w:szCs w:val="28"/>
      </w:rPr>
      <w:fldChar w:fldCharType="separate"/>
    </w:r>
    <w:r>
      <w:rPr>
        <w:rStyle w:val="14"/>
        <w:rFonts w:ascii="Times New Roman" w:hAnsi="Times New Roman" w:cs="Times New Roman"/>
        <w:sz w:val="28"/>
        <w:szCs w:val="28"/>
      </w:rPr>
      <w:t>11</w:t>
    </w:r>
    <w:r>
      <w:rPr>
        <w:rStyle w:val="14"/>
        <w:rFonts w:ascii="Times New Roman" w:hAnsi="Times New Roman" w:cs="Times New Roman"/>
        <w:sz w:val="28"/>
        <w:szCs w:val="28"/>
      </w:rPr>
      <w:fldChar w:fldCharType="end"/>
    </w:r>
    <w:r>
      <w:rPr>
        <w:rStyle w:val="14"/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D7938">
    <w:pPr>
      <w:pStyle w:val="7"/>
      <w:ind w:firstLine="140" w:firstLineChars="5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Style w:val="14"/>
        <w:rFonts w:ascii="Times New Roman" w:hAnsi="Times New Roman" w:cs="Times New Roman"/>
        <w:sz w:val="28"/>
        <w:szCs w:val="28"/>
      </w:rPr>
      <w:fldChar w:fldCharType="begin"/>
    </w:r>
    <w:r>
      <w:rPr>
        <w:rStyle w:val="14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14"/>
        <w:rFonts w:ascii="Times New Roman" w:hAnsi="Times New Roman" w:cs="Times New Roman"/>
        <w:sz w:val="28"/>
        <w:szCs w:val="28"/>
      </w:rPr>
      <w:fldChar w:fldCharType="separate"/>
    </w:r>
    <w:r>
      <w:rPr>
        <w:rStyle w:val="14"/>
        <w:rFonts w:ascii="Times New Roman" w:hAnsi="Times New Roman" w:cs="Times New Roman"/>
        <w:sz w:val="28"/>
        <w:szCs w:val="28"/>
      </w:rPr>
      <w:t>10</w:t>
    </w:r>
    <w:r>
      <w:rPr>
        <w:rStyle w:val="14"/>
        <w:rFonts w:ascii="Times New Roman" w:hAnsi="Times New Roman" w:cs="Times New Roman"/>
        <w:sz w:val="28"/>
        <w:szCs w:val="28"/>
      </w:rPr>
      <w:fldChar w:fldCharType="end"/>
    </w:r>
    <w:r>
      <w:rPr>
        <w:rStyle w:val="14"/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EE"/>
    <w:rsid w:val="00011428"/>
    <w:rsid w:val="00063F89"/>
    <w:rsid w:val="000937D4"/>
    <w:rsid w:val="000E63D7"/>
    <w:rsid w:val="000F6638"/>
    <w:rsid w:val="001142A8"/>
    <w:rsid w:val="001372F8"/>
    <w:rsid w:val="00154C5C"/>
    <w:rsid w:val="001A09F3"/>
    <w:rsid w:val="001D5FF6"/>
    <w:rsid w:val="001E34DE"/>
    <w:rsid w:val="001F2EB5"/>
    <w:rsid w:val="00202BFD"/>
    <w:rsid w:val="00256270"/>
    <w:rsid w:val="00271F29"/>
    <w:rsid w:val="002A0FEF"/>
    <w:rsid w:val="002B2205"/>
    <w:rsid w:val="002C4062"/>
    <w:rsid w:val="002F26A1"/>
    <w:rsid w:val="002F4191"/>
    <w:rsid w:val="00322AAE"/>
    <w:rsid w:val="003470EC"/>
    <w:rsid w:val="00384C37"/>
    <w:rsid w:val="00385348"/>
    <w:rsid w:val="00394808"/>
    <w:rsid w:val="0040546E"/>
    <w:rsid w:val="00417136"/>
    <w:rsid w:val="00417DD8"/>
    <w:rsid w:val="00425BD6"/>
    <w:rsid w:val="00433F19"/>
    <w:rsid w:val="0047590B"/>
    <w:rsid w:val="004B6B2F"/>
    <w:rsid w:val="005017BF"/>
    <w:rsid w:val="0052744E"/>
    <w:rsid w:val="00535EA0"/>
    <w:rsid w:val="00535F7B"/>
    <w:rsid w:val="005429CB"/>
    <w:rsid w:val="00564FA2"/>
    <w:rsid w:val="0057784B"/>
    <w:rsid w:val="005817E3"/>
    <w:rsid w:val="0058792E"/>
    <w:rsid w:val="005D55B5"/>
    <w:rsid w:val="00607179"/>
    <w:rsid w:val="00637A83"/>
    <w:rsid w:val="00647AE5"/>
    <w:rsid w:val="006860DC"/>
    <w:rsid w:val="006E395E"/>
    <w:rsid w:val="007527E8"/>
    <w:rsid w:val="007A7543"/>
    <w:rsid w:val="007C5167"/>
    <w:rsid w:val="00844E95"/>
    <w:rsid w:val="00913879"/>
    <w:rsid w:val="0095116C"/>
    <w:rsid w:val="00965E2D"/>
    <w:rsid w:val="009B6CB9"/>
    <w:rsid w:val="009D0086"/>
    <w:rsid w:val="009E1B2E"/>
    <w:rsid w:val="009F587C"/>
    <w:rsid w:val="00A554CB"/>
    <w:rsid w:val="00A74561"/>
    <w:rsid w:val="00AB573D"/>
    <w:rsid w:val="00AD0AB7"/>
    <w:rsid w:val="00AD1486"/>
    <w:rsid w:val="00AF1DC6"/>
    <w:rsid w:val="00B2435D"/>
    <w:rsid w:val="00B47978"/>
    <w:rsid w:val="00B539BE"/>
    <w:rsid w:val="00B643EF"/>
    <w:rsid w:val="00B7216D"/>
    <w:rsid w:val="00B74FEE"/>
    <w:rsid w:val="00B84C01"/>
    <w:rsid w:val="00BD1C6A"/>
    <w:rsid w:val="00BE5A4B"/>
    <w:rsid w:val="00BF1D22"/>
    <w:rsid w:val="00C223EB"/>
    <w:rsid w:val="00C35C01"/>
    <w:rsid w:val="00C935A4"/>
    <w:rsid w:val="00CA53B4"/>
    <w:rsid w:val="00CD77CF"/>
    <w:rsid w:val="00D04BBF"/>
    <w:rsid w:val="00D106E7"/>
    <w:rsid w:val="00D20C85"/>
    <w:rsid w:val="00D4056C"/>
    <w:rsid w:val="00D63D82"/>
    <w:rsid w:val="00DA439A"/>
    <w:rsid w:val="00DA51AA"/>
    <w:rsid w:val="00DB40D4"/>
    <w:rsid w:val="00DD006E"/>
    <w:rsid w:val="00E51ABD"/>
    <w:rsid w:val="00E92B44"/>
    <w:rsid w:val="00EA4958"/>
    <w:rsid w:val="00EC6191"/>
    <w:rsid w:val="00EE66E2"/>
    <w:rsid w:val="00F97527"/>
    <w:rsid w:val="08910034"/>
    <w:rsid w:val="144D5FD1"/>
    <w:rsid w:val="1A192712"/>
    <w:rsid w:val="1A383002"/>
    <w:rsid w:val="20E40D06"/>
    <w:rsid w:val="2242498C"/>
    <w:rsid w:val="25411760"/>
    <w:rsid w:val="26C55F3E"/>
    <w:rsid w:val="34CC36DB"/>
    <w:rsid w:val="37BF67D2"/>
    <w:rsid w:val="415C1006"/>
    <w:rsid w:val="4364101B"/>
    <w:rsid w:val="437E3BD2"/>
    <w:rsid w:val="48E54DAB"/>
    <w:rsid w:val="504D2B20"/>
    <w:rsid w:val="57E97DCB"/>
    <w:rsid w:val="59424064"/>
    <w:rsid w:val="70713848"/>
    <w:rsid w:val="7A86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22"/>
    <w:qFormat/>
    <w:uiPriority w:val="0"/>
    <w:pPr>
      <w:spacing w:line="560" w:lineRule="exact"/>
      <w:ind w:firstLine="600" w:firstLineChars="200"/>
    </w:pPr>
    <w:rPr>
      <w:rFonts w:ascii="仿宋_GB2312" w:eastAsia="仿宋_GB2312"/>
      <w:kern w:val="0"/>
      <w:sz w:val="30"/>
      <w:szCs w:val="30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rPr>
      <w:rFonts w:eastAsia="Times New Roman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unhideWhenUsed/>
    <w:qFormat/>
    <w:uiPriority w:val="0"/>
    <w:rPr>
      <w:szCs w:val="20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脚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7">
    <w:name w:val="页眉 字符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3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批注框文本 字符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21">
    <w:name w:val="日期 字符"/>
    <w:basedOn w:val="13"/>
    <w:link w:val="5"/>
    <w:semiHidden/>
    <w:qFormat/>
    <w:uiPriority w:val="99"/>
    <w:rPr>
      <w:kern w:val="2"/>
      <w:sz w:val="21"/>
      <w:szCs w:val="22"/>
    </w:rPr>
  </w:style>
  <w:style w:type="character" w:customStyle="1" w:styleId="22">
    <w:name w:val="正文文本缩进 字符1"/>
    <w:link w:val="4"/>
    <w:qFormat/>
    <w:uiPriority w:val="0"/>
    <w:rPr>
      <w:rFonts w:ascii="仿宋_GB2312" w:eastAsia="仿宋_GB2312"/>
      <w:sz w:val="30"/>
      <w:szCs w:val="30"/>
    </w:rPr>
  </w:style>
  <w:style w:type="character" w:customStyle="1" w:styleId="23">
    <w:name w:val="正文文本缩进 字符"/>
    <w:basedOn w:val="13"/>
    <w:semiHidden/>
    <w:qFormat/>
    <w:uiPriority w:val="99"/>
    <w:rPr>
      <w:kern w:val="2"/>
      <w:sz w:val="21"/>
      <w:szCs w:val="22"/>
    </w:rPr>
  </w:style>
  <w:style w:type="character" w:customStyle="1" w:styleId="24">
    <w:name w:val="正文文本 字符"/>
    <w:basedOn w:val="13"/>
    <w:link w:val="3"/>
    <w:semiHidden/>
    <w:qFormat/>
    <w:uiPriority w:val="99"/>
    <w:rPr>
      <w:kern w:val="2"/>
      <w:sz w:val="21"/>
      <w:szCs w:val="22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cs="方正仿宋_GBK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250</Words>
  <Characters>271</Characters>
  <Lines>38</Lines>
  <Paragraphs>10</Paragraphs>
  <TotalTime>0</TotalTime>
  <ScaleCrop>false</ScaleCrop>
  <LinksUpToDate>false</LinksUpToDate>
  <CharactersWithSpaces>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2022-02-28T10:02:00Z</dcterms:created>
  <dc:creator>祝颖晶</dc:creator>
  <cp:lastModifiedBy>asdf</cp:lastModifiedBy>
  <cp:lastPrinted>2025-12-22T02:55:00Z</cp:lastPrinted>
  <dcterms:modified xsi:type="dcterms:W3CDTF">2025-12-22T09:13:29Z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3A89FEDE79E64784BA771CC09319FA49_13</vt:lpwstr>
  </property>
  <property fmtid="{D5CDD505-2E9C-101B-9397-08002B2CF9AE}" pid="4" name="KSOTemplateDocerSaveRecord">
    <vt:lpwstr>eyJoZGlkIjoiNTQyNjhmNWNiYWI2ZTM5N2U0ZmY3N2QwMGQ4NmQ4MWUiLCJ1c2VySWQiOiI1Nzk1MzE5NTkifQ==</vt:lpwstr>
  </property>
</Properties>
</file>